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12068D9" w:rsidR="000830E3" w:rsidRDefault="00DD714E" w:rsidP="00DD714E">
      <w:pPr>
        <w:pStyle w:val="Pagedecouverture"/>
        <w:rPr>
          <w:noProof/>
        </w:rPr>
      </w:pPr>
      <w:bookmarkStart w:id="0" w:name="LW_BM_COVERPAGE"/>
      <w:r>
        <w:rPr>
          <w:noProof/>
        </w:rPr>
        <w:pict w14:anchorId="00AA24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3E84EF-BA5E-4ED8-BE75-7591C7465ACE" style="width:455.25pt;height:548.25pt">
            <v:imagedata r:id="rId15" o:title=""/>
          </v:shape>
        </w:pict>
      </w:r>
    </w:p>
    <w:bookmarkEnd w:id="0"/>
    <w:p w14:paraId="2BAF3ADB" w14:textId="77777777" w:rsidR="000830E3" w:rsidRDefault="000830E3" w:rsidP="000830E3">
      <w:pPr>
        <w:rPr>
          <w:noProof/>
        </w:rPr>
        <w:sectPr w:rsidR="000830E3" w:rsidSect="00DD714E">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5EAA112D" w14:textId="77777777" w:rsidR="00E53886" w:rsidRPr="00973061" w:rsidRDefault="00E53886" w:rsidP="00E53886">
      <w:pPr>
        <w:pBdr>
          <w:top w:val="single" w:sz="4" w:space="1" w:color="auto"/>
          <w:left w:val="single" w:sz="4" w:space="0" w:color="auto"/>
          <w:bottom w:val="single" w:sz="4" w:space="17" w:color="auto"/>
          <w:right w:val="single" w:sz="4" w:space="4" w:color="auto"/>
        </w:pBdr>
        <w:rPr>
          <w:b/>
          <w:smallCaps/>
          <w:noProof/>
          <w:szCs w:val="24"/>
          <w:u w:val="single"/>
          <w:lang w:eastAsia="en-GB"/>
        </w:rPr>
      </w:pPr>
      <w:bookmarkStart w:id="1" w:name="_GoBack"/>
      <w:bookmarkEnd w:id="1"/>
      <w:r w:rsidRPr="00973061">
        <w:rPr>
          <w:b/>
          <w:smallCaps/>
          <w:noProof/>
          <w:szCs w:val="24"/>
          <w:u w:val="single"/>
          <w:lang w:eastAsia="en-GB"/>
        </w:rPr>
        <w:lastRenderedPageBreak/>
        <w:t>Abstract</w:t>
      </w:r>
    </w:p>
    <w:p w14:paraId="3D61CCE8" w14:textId="0E93999B" w:rsidR="00E53886" w:rsidRPr="00973061" w:rsidRDefault="00E53886" w:rsidP="00E53886">
      <w:pPr>
        <w:pBdr>
          <w:top w:val="single" w:sz="4" w:space="1" w:color="auto"/>
          <w:left w:val="single" w:sz="4" w:space="0" w:color="auto"/>
          <w:bottom w:val="single" w:sz="4" w:space="17" w:color="auto"/>
          <w:right w:val="single" w:sz="4" w:space="4" w:color="auto"/>
        </w:pBdr>
        <w:rPr>
          <w:noProof/>
          <w:lang w:eastAsia="en-GB"/>
        </w:rPr>
      </w:pPr>
      <w:r w:rsidRPr="00973061">
        <w:rPr>
          <w:noProof/>
          <w:lang w:eastAsia="en-GB"/>
        </w:rPr>
        <w:t xml:space="preserve">In Luxembourg, the level of perceived judicial independence continues to be </w:t>
      </w:r>
      <w:r w:rsidRPr="00933766">
        <w:rPr>
          <w:noProof/>
          <w:lang w:eastAsia="en-GB"/>
        </w:rPr>
        <w:t>very high</w:t>
      </w:r>
      <w:r w:rsidRPr="00973061">
        <w:rPr>
          <w:noProof/>
          <w:lang w:eastAsia="en-GB"/>
        </w:rPr>
        <w:t xml:space="preserve"> among </w:t>
      </w:r>
      <w:r>
        <w:rPr>
          <w:noProof/>
          <w:lang w:eastAsia="en-GB"/>
        </w:rPr>
        <w:t xml:space="preserve">both </w:t>
      </w:r>
      <w:r w:rsidRPr="00973061">
        <w:rPr>
          <w:noProof/>
          <w:lang w:eastAsia="en-GB"/>
        </w:rPr>
        <w:t>the general public and companies. The National Council for Justice continues to fulfil its functions in the justice system. Steps have been taken on the digitalisation of the judicial system, with projects in civil, criminal and administrative jurisdictions. The reform of the criminal justice system as regards minors remains pending, awaiting the opinion of the Council of State. Initiatives are underway to support recruitment needs in the judiciary, and there are plans to establish a new tribunal to increase the efficiency in administrative proceedings. While the justice system continues to perform efficiently overall, disposition times have increased across all instances</w:t>
      </w:r>
      <w:r w:rsidR="00E906E9">
        <w:rPr>
          <w:noProof/>
          <w:lang w:eastAsia="en-GB"/>
        </w:rPr>
        <w:t>.</w:t>
      </w:r>
    </w:p>
    <w:p w14:paraId="6BFEA6C9" w14:textId="7FE05FC8" w:rsidR="00E53886" w:rsidRDefault="00E53886" w:rsidP="00E53886">
      <w:pPr>
        <w:pBdr>
          <w:top w:val="single" w:sz="4" w:space="1" w:color="auto"/>
          <w:left w:val="single" w:sz="4" w:space="0" w:color="auto"/>
          <w:bottom w:val="single" w:sz="4" w:space="17" w:color="auto"/>
          <w:right w:val="single" w:sz="4" w:space="4" w:color="auto"/>
        </w:pBdr>
        <w:rPr>
          <w:noProof/>
          <w:lang w:eastAsia="en-GB"/>
        </w:rPr>
      </w:pPr>
      <w:r w:rsidRPr="3F27407F">
        <w:rPr>
          <w:rStyle w:val="Bodytext1"/>
          <w:noProof/>
        </w:rPr>
        <w:t>A national evaluation of corruption risks and the existing anti-corruption framework was launched to support the development of a national anti-corruption strategy. The number of convictions in corruption cases slightly increased</w:t>
      </w:r>
      <w:r w:rsidR="009A672F">
        <w:rPr>
          <w:rStyle w:val="Bodytext1"/>
          <w:noProof/>
        </w:rPr>
        <w:t>,</w:t>
      </w:r>
      <w:r w:rsidRPr="3F27407F">
        <w:rPr>
          <w:rStyle w:val="Bodytext1"/>
          <w:noProof/>
        </w:rPr>
        <w:t xml:space="preserve"> while the number of reported cases remain relatively stable compared to last year. Human resources in services working on anti-corruption have significantly increased. The changes related to the Parliament's transparency register are now fully implemented. </w:t>
      </w:r>
      <w:r w:rsidRPr="00933766">
        <w:rPr>
          <w:noProof/>
        </w:rPr>
        <w:t xml:space="preserve">New rules have been adopted to strengthen the control over </w:t>
      </w:r>
      <w:r w:rsidRPr="3F27407F">
        <w:rPr>
          <w:noProof/>
        </w:rPr>
        <w:t>the use of financial resources by the political groups and independent Members of the Parliament</w:t>
      </w:r>
      <w:r w:rsidRPr="00933766">
        <w:rPr>
          <w:noProof/>
        </w:rPr>
        <w:t xml:space="preserve">. </w:t>
      </w:r>
      <w:r w:rsidRPr="3F27407F">
        <w:rPr>
          <w:rStyle w:val="Bodytext1"/>
          <w:noProof/>
        </w:rPr>
        <w:t xml:space="preserve">Discussions on draft laws introducing codes of conduct for elected representatives at municipal level are continuing. </w:t>
      </w:r>
      <w:r w:rsidRPr="3F27407F">
        <w:rPr>
          <w:noProof/>
          <w:lang w:eastAsia="en-GB"/>
        </w:rPr>
        <w:t>The</w:t>
      </w:r>
      <w:r w:rsidRPr="3F27407F">
        <w:rPr>
          <w:rStyle w:val="Bodytext1"/>
          <w:noProof/>
        </w:rPr>
        <w:t xml:space="preserve"> Deontology Committee continued monitoring the respect of the Ethics rules by the Members of the Government. The number of reported alerts from whistleblowers </w:t>
      </w:r>
      <w:r>
        <w:rPr>
          <w:rStyle w:val="Bodytext1"/>
          <w:noProof/>
        </w:rPr>
        <w:t>continued to increase in 2025</w:t>
      </w:r>
      <w:r w:rsidRPr="3F27407F">
        <w:rPr>
          <w:rStyle w:val="Bodytext1"/>
          <w:noProof/>
        </w:rPr>
        <w:t xml:space="preserve">. </w:t>
      </w:r>
      <w:r w:rsidRPr="00933766">
        <w:rPr>
          <w:noProof/>
        </w:rPr>
        <w:t>The identification of sectors at high risks of corruption is part of the on-going national evaluation of corruption</w:t>
      </w:r>
      <w:r>
        <w:rPr>
          <w:noProof/>
        </w:rPr>
        <w:t xml:space="preserve"> risks</w:t>
      </w:r>
      <w:r w:rsidRPr="00933766">
        <w:rPr>
          <w:noProof/>
        </w:rPr>
        <w:t xml:space="preserve">. </w:t>
      </w:r>
    </w:p>
    <w:p w14:paraId="23516A4D" w14:textId="5ABBF1BF" w:rsidR="00E53886" w:rsidRPr="00973061" w:rsidRDefault="00E53886" w:rsidP="00E53886">
      <w:pPr>
        <w:pBdr>
          <w:top w:val="single" w:sz="4" w:space="1" w:color="auto"/>
          <w:left w:val="single" w:sz="4" w:space="0" w:color="auto"/>
          <w:bottom w:val="single" w:sz="4" w:space="17" w:color="auto"/>
          <w:right w:val="single" w:sz="4" w:space="4" w:color="auto"/>
        </w:pBdr>
        <w:rPr>
          <w:noProof/>
          <w:lang w:eastAsia="en-GB"/>
        </w:rPr>
      </w:pPr>
      <w:r w:rsidRPr="00A53822">
        <w:rPr>
          <w:noProof/>
          <w:lang w:eastAsia="en-GB"/>
        </w:rPr>
        <w:t xml:space="preserve">The ongoing reform of the media regulatory framework aims to substantially strengthen the role, mandate and functioning of the national media regulator. The </w:t>
      </w:r>
      <w:r w:rsidRPr="00973061">
        <w:rPr>
          <w:noProof/>
          <w:lang w:eastAsia="en-GB"/>
        </w:rPr>
        <w:t>media reform also strengthens the role of the Press Council, while public support for journalism continues to be ensured through the existing public aid scheme. Radio 100</w:t>
      </w:r>
      <w:r w:rsidR="00384EEE">
        <w:rPr>
          <w:noProof/>
          <w:lang w:eastAsia="en-GB"/>
        </w:rPr>
        <w:t>,</w:t>
      </w:r>
      <w:r w:rsidRPr="00973061">
        <w:rPr>
          <w:noProof/>
          <w:lang w:eastAsia="en-GB"/>
        </w:rPr>
        <w:t xml:space="preserve">7, Luxembourg’s public service broadcaster, continues to operate independently. </w:t>
      </w:r>
      <w:r>
        <w:rPr>
          <w:noProof/>
          <w:lang w:eastAsia="en-GB"/>
        </w:rPr>
        <w:t xml:space="preserve">Work continued on </w:t>
      </w:r>
      <w:r w:rsidRPr="00973061">
        <w:rPr>
          <w:noProof/>
          <w:lang w:eastAsia="en-GB"/>
        </w:rPr>
        <w:t>the reform of the legal framework for the disclosure of official documents, taking into account European standards on access to official documents</w:t>
      </w:r>
      <w:r w:rsidRPr="00670D1B">
        <w:rPr>
          <w:noProof/>
          <w:lang w:eastAsia="en-GB"/>
        </w:rPr>
        <w:t xml:space="preserve">. </w:t>
      </w:r>
      <w:r w:rsidRPr="00973061">
        <w:rPr>
          <w:noProof/>
          <w:lang w:eastAsia="en-GB"/>
        </w:rPr>
        <w:t>The Government has taken steps to strengthen the protection of journalists, notably through the National Action Plan on the Safety of Journalists (2025–2028).</w:t>
      </w:r>
    </w:p>
    <w:p w14:paraId="0567DA6D" w14:textId="77777777" w:rsidR="00E53886" w:rsidRPr="00973061" w:rsidRDefault="00E53886" w:rsidP="00E53886">
      <w:pPr>
        <w:pBdr>
          <w:top w:val="single" w:sz="4" w:space="1" w:color="auto"/>
          <w:left w:val="single" w:sz="4" w:space="0" w:color="auto"/>
          <w:bottom w:val="single" w:sz="4" w:space="17" w:color="auto"/>
          <w:right w:val="single" w:sz="4" w:space="4" w:color="auto"/>
        </w:pBdr>
        <w:rPr>
          <w:noProof/>
          <w:lang w:eastAsia="en-GB"/>
        </w:rPr>
      </w:pPr>
      <w:r w:rsidRPr="00973061">
        <w:rPr>
          <w:noProof/>
          <w:lang w:eastAsia="en-GB"/>
        </w:rPr>
        <w:t xml:space="preserve">Stakeholder consultations are generally </w:t>
      </w:r>
      <w:r w:rsidRPr="00670D1B">
        <w:rPr>
          <w:rStyle w:val="Bodytext1"/>
          <w:noProof/>
          <w:szCs w:val="24"/>
        </w:rPr>
        <w:t>considered</w:t>
      </w:r>
      <w:r w:rsidRPr="00973061">
        <w:rPr>
          <w:noProof/>
          <w:lang w:eastAsia="en-GB"/>
        </w:rPr>
        <w:t xml:space="preserve"> effective in practice. The reform to make the Consultative Commission for Human Rights (CCDH) more independent remains pending in the Parliament. The civic space is open and supported by available public funding.</w:t>
      </w:r>
    </w:p>
    <w:p w14:paraId="7C3341E3" w14:textId="77777777" w:rsidR="00E53886" w:rsidRDefault="00E53886" w:rsidP="00E53886">
      <w:pPr>
        <w:rPr>
          <w:noProof/>
          <w:lang w:eastAsia="en-GB"/>
        </w:rPr>
      </w:pPr>
      <w:r w:rsidRPr="00973061">
        <w:rPr>
          <w:noProof/>
          <w:lang w:eastAsia="en-GB"/>
        </w:rPr>
        <w:br w:type="page"/>
      </w:r>
    </w:p>
    <w:p w14:paraId="5E037BC7" w14:textId="6C5B3BD0" w:rsidR="00CF3451" w:rsidRPr="00D16464" w:rsidRDefault="00CF3451" w:rsidP="00CF3451">
      <w:pPr>
        <w:pageBreakBefore/>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2" w:name="_Hlk202256986"/>
      <w:r>
        <w:rPr>
          <w:b/>
          <w:smallCaps/>
          <w:noProof/>
          <w:szCs w:val="24"/>
          <w:u w:val="single"/>
          <w:lang w:val="en-IE" w:eastAsia="en-GB"/>
        </w:rPr>
        <w:t>Recommendations</w:t>
      </w:r>
    </w:p>
    <w:p w14:paraId="46B06420" w14:textId="77777777" w:rsidR="00CF3451" w:rsidRPr="00D16464" w:rsidRDefault="00CF3451" w:rsidP="00CF3451">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77FDE980" w14:textId="77777777" w:rsidR="00CF3451" w:rsidRPr="00D16464" w:rsidRDefault="00CF3451" w:rsidP="00CF3451">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62F3D772" w14:textId="77777777" w:rsidR="00CF3451" w:rsidRPr="00916A0C" w:rsidRDefault="00CF3451" w:rsidP="00CF3451">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
          <w:noProof/>
          <w:szCs w:val="24"/>
          <w:lang w:val="en-IE" w:eastAsia="en-GB"/>
        </w:rPr>
      </w:pPr>
      <w:r>
        <w:rPr>
          <w:noProof/>
          <w:szCs w:val="24"/>
          <w:lang w:val="en-IE" w:eastAsia="en-GB"/>
        </w:rPr>
        <w:t xml:space="preserve">Some further progress has been made on the digitalisation of civil, criminal and administrative proceedings, as a management committee to coordinate digitalisation initiatives was established and milestones for civil, criminal, and administrative court proceedings were set and are being implemented. Since additional steps are needed to advance the digitalisation the justice system, it is recommended to Luxembourg to step up efforts to </w:t>
      </w:r>
      <w:r>
        <w:rPr>
          <w:i/>
          <w:noProof/>
          <w:szCs w:val="24"/>
          <w:lang w:val="en-IE" w:eastAsia="en-GB"/>
        </w:rPr>
        <w:t>further develop the digitalisation of civil, criminal and administrative proceedings</w:t>
      </w:r>
      <w:r>
        <w:rPr>
          <w:noProof/>
          <w:szCs w:val="24"/>
          <w:lang w:val="en-IE" w:eastAsia="en-GB"/>
        </w:rPr>
        <w:t>.</w:t>
      </w:r>
    </w:p>
    <w:p w14:paraId="44E02C79" w14:textId="5265641E" w:rsidR="00CF3451" w:rsidRPr="00D16464" w:rsidRDefault="00CF3451" w:rsidP="00CF3451">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
          <w:noProof/>
          <w:szCs w:val="24"/>
          <w:lang w:val="en-IE" w:eastAsia="en-GB"/>
        </w:rPr>
      </w:pPr>
      <w:r>
        <w:rPr>
          <w:rFonts w:eastAsia="Aptos" w:cs="Arial"/>
          <w:noProof/>
          <w:lang w:val="en-IE"/>
        </w:rPr>
        <w:t xml:space="preserve">Some further progress has been made to complete the reform of the legal framework for the disclosure of official documents, in light of further legislative work on the relevant reform. Therefore, it is recommended to Luxembourg to step up efforts to </w:t>
      </w:r>
      <w:r>
        <w:rPr>
          <w:rFonts w:eastAsia="Aptos" w:cs="Arial"/>
          <w:i/>
          <w:noProof/>
          <w:lang w:val="en-IE"/>
        </w:rPr>
        <w:t>finalise the reform of the legal framework on access to official documents, taking into account European standards</w:t>
      </w:r>
      <w:r>
        <w:rPr>
          <w:rFonts w:eastAsia="Aptos" w:cs="Arial"/>
          <w:noProof/>
          <w:lang w:val="en-IE"/>
        </w:rPr>
        <w:t>.</w:t>
      </w:r>
    </w:p>
    <w:p w14:paraId="11378358" w14:textId="55B1C938" w:rsidR="00CF0B9D" w:rsidRDefault="009F4AF8" w:rsidP="00CF3451">
      <w:pPr>
        <w:spacing w:after="0"/>
        <w:jc w:val="left"/>
        <w:rPr>
          <w:noProof/>
          <w:lang w:eastAsia="en-GB"/>
        </w:rPr>
      </w:pPr>
      <w:r>
        <w:rPr>
          <w:noProof/>
          <w:lang w:eastAsia="en-GB"/>
        </w:rPr>
        <w:br w:type="page"/>
      </w:r>
    </w:p>
    <w:bookmarkEnd w:id="2"/>
    <w:p w14:paraId="5573ADCE" w14:textId="20F64F59" w:rsidR="00E53886" w:rsidRPr="00907484" w:rsidRDefault="00E53886" w:rsidP="00E17E28">
      <w:pPr>
        <w:pStyle w:val="Heading1"/>
        <w:numPr>
          <w:ilvl w:val="0"/>
          <w:numId w:val="40"/>
        </w:numPr>
        <w:rPr>
          <w:noProof/>
          <w:u w:val="single"/>
        </w:rPr>
      </w:pPr>
      <w:r w:rsidRPr="00907484">
        <w:rPr>
          <w:noProof/>
          <w:u w:val="single"/>
        </w:rPr>
        <w:t>Justice System</w:t>
      </w:r>
      <w:r w:rsidRPr="00907484">
        <w:rPr>
          <w:b w:val="0"/>
          <w:bCs/>
          <w:noProof/>
          <w:u w:val="single"/>
          <w:vertAlign w:val="superscript"/>
        </w:rPr>
        <w:footnoteReference w:id="1"/>
      </w:r>
      <w:r w:rsidRPr="00907484">
        <w:rPr>
          <w:b w:val="0"/>
          <w:bCs/>
          <w:noProof/>
          <w:u w:val="single"/>
        </w:rPr>
        <w:t xml:space="preserve"> </w:t>
      </w:r>
    </w:p>
    <w:p w14:paraId="51DF99EB" w14:textId="77777777" w:rsidR="00E53886" w:rsidRPr="00973061" w:rsidRDefault="00E53886" w:rsidP="00907484">
      <w:pPr>
        <w:pStyle w:val="Heading2"/>
        <w:numPr>
          <w:ilvl w:val="0"/>
          <w:numId w:val="0"/>
        </w:numPr>
        <w:rPr>
          <w:noProof/>
        </w:rPr>
      </w:pPr>
      <w:r w:rsidRPr="00973061">
        <w:rPr>
          <w:noProof/>
        </w:rPr>
        <w:t xml:space="preserve">Independence </w:t>
      </w:r>
    </w:p>
    <w:p w14:paraId="0A209D4C" w14:textId="77777777" w:rsidR="00E53886" w:rsidRPr="000E1F62" w:rsidRDefault="00E53886" w:rsidP="00E53886">
      <w:pPr>
        <w:rPr>
          <w:noProof/>
          <w:szCs w:val="24"/>
        </w:rPr>
      </w:pPr>
      <w:r w:rsidRPr="00B1618D">
        <w:rPr>
          <w:b/>
          <w:bCs/>
          <w:noProof/>
          <w:szCs w:val="24"/>
        </w:rPr>
        <w:t xml:space="preserve">The level of perceived judicial independence in Luxembourg is now very high among both the general public </w:t>
      </w:r>
      <w:r w:rsidRPr="00B1618D">
        <w:rPr>
          <w:b/>
          <w:noProof/>
          <w:szCs w:val="24"/>
        </w:rPr>
        <w:t>and</w:t>
      </w:r>
      <w:r w:rsidRPr="00B1618D">
        <w:rPr>
          <w:b/>
          <w:bCs/>
          <w:noProof/>
          <w:szCs w:val="24"/>
        </w:rPr>
        <w:t xml:space="preserve"> companies</w:t>
      </w:r>
      <w:r w:rsidRPr="00B1618D">
        <w:rPr>
          <w:noProof/>
          <w:szCs w:val="24"/>
        </w:rPr>
        <w:t>. Overall, 78% of the general population and 75% of companies perceive the level of independence of courts and judges to be ‘fairly or very good’ in 2026</w:t>
      </w:r>
      <w:r w:rsidRPr="00B1618D">
        <w:rPr>
          <w:rStyle w:val="FootnoteReference"/>
          <w:noProof/>
          <w:szCs w:val="24"/>
        </w:rPr>
        <w:footnoteReference w:id="2"/>
      </w:r>
      <w:r w:rsidRPr="00B1618D">
        <w:rPr>
          <w:noProof/>
          <w:szCs w:val="24"/>
        </w:rPr>
        <w:t>. The perceived judicial independence among the general public has slightly increased in comparison with 2025 (77%) and in comparison with 2022 (77%). The perceived judicial independence among companies has slightly increased in comparison with 2025 (74%) and has slightly decreased in comparison with 2022 (76%).</w:t>
      </w:r>
    </w:p>
    <w:p w14:paraId="203F26AE" w14:textId="77777777" w:rsidR="00E53886" w:rsidRPr="00973061" w:rsidRDefault="00E53886" w:rsidP="00E53886">
      <w:pPr>
        <w:rPr>
          <w:bCs/>
          <w:noProof/>
          <w:lang w:eastAsia="fr-FR"/>
        </w:rPr>
      </w:pPr>
      <w:r w:rsidRPr="00973061">
        <w:rPr>
          <w:b/>
          <w:noProof/>
          <w:lang w:eastAsia="fr-FR"/>
        </w:rPr>
        <w:t xml:space="preserve">The National Council for Justice continues to effectively fulfil its functions in the justice system. </w:t>
      </w:r>
      <w:r w:rsidRPr="00973061">
        <w:rPr>
          <w:bCs/>
          <w:noProof/>
          <w:lang w:eastAsia="fr-FR"/>
        </w:rPr>
        <w:t>Since 2023, the National Council for Justice oversees the appointment, evaluation, promotion, and disciplinary regime of magistrates</w:t>
      </w:r>
      <w:r w:rsidRPr="00973061">
        <w:rPr>
          <w:rStyle w:val="FootnoteReference"/>
          <w:bCs/>
          <w:noProof/>
          <w:lang w:eastAsia="fr-FR"/>
        </w:rPr>
        <w:footnoteReference w:id="3"/>
      </w:r>
      <w:r w:rsidRPr="00973061">
        <w:rPr>
          <w:bCs/>
          <w:noProof/>
          <w:lang w:eastAsia="fr-FR"/>
        </w:rPr>
        <w:t>. The Council assesses its work positively, as do external stakeholders</w:t>
      </w:r>
      <w:r w:rsidRPr="00973061">
        <w:rPr>
          <w:rStyle w:val="FootnoteReference"/>
          <w:bCs/>
          <w:noProof/>
          <w:lang w:eastAsia="fr-FR"/>
        </w:rPr>
        <w:footnoteReference w:id="4"/>
      </w:r>
      <w:r w:rsidRPr="00973061">
        <w:rPr>
          <w:bCs/>
          <w:noProof/>
          <w:lang w:eastAsia="fr-FR"/>
        </w:rPr>
        <w:t>. The Council remains actively involved in discussions on recruitment and eligibility criteria in the justice system, especially by providing opinions on draft laws</w:t>
      </w:r>
      <w:r w:rsidRPr="00973061">
        <w:rPr>
          <w:rStyle w:val="FootnoteReference"/>
          <w:bCs/>
          <w:noProof/>
          <w:lang w:eastAsia="fr-FR"/>
        </w:rPr>
        <w:footnoteReference w:id="5"/>
      </w:r>
      <w:r w:rsidRPr="00973061">
        <w:rPr>
          <w:bCs/>
          <w:noProof/>
          <w:lang w:eastAsia="fr-FR"/>
        </w:rPr>
        <w:t>. While the Council publishes its opinions online, stakeholders call for greater transparency in its decision-making process and information flows, including a more detailed motivation of its decisions on appointment of judges</w:t>
      </w:r>
      <w:r w:rsidRPr="00973061">
        <w:rPr>
          <w:rStyle w:val="FootnoteReference"/>
          <w:bCs/>
          <w:noProof/>
          <w:lang w:eastAsia="fr-FR"/>
        </w:rPr>
        <w:footnoteReference w:id="6"/>
      </w:r>
      <w:r w:rsidRPr="00973061">
        <w:rPr>
          <w:bCs/>
          <w:noProof/>
          <w:lang w:eastAsia="fr-FR"/>
        </w:rPr>
        <w:t>.</w:t>
      </w:r>
    </w:p>
    <w:p w14:paraId="31BBB249" w14:textId="77777777" w:rsidR="00E53886" w:rsidRPr="00973061" w:rsidRDefault="00E53886" w:rsidP="00907484">
      <w:pPr>
        <w:pStyle w:val="Heading2"/>
        <w:numPr>
          <w:ilvl w:val="0"/>
          <w:numId w:val="0"/>
        </w:numPr>
        <w:rPr>
          <w:noProof/>
        </w:rPr>
      </w:pPr>
      <w:r w:rsidRPr="00973061">
        <w:rPr>
          <w:noProof/>
        </w:rPr>
        <w:t>Quality</w:t>
      </w:r>
    </w:p>
    <w:p w14:paraId="08B36288" w14:textId="7CE87269" w:rsidR="00E53886" w:rsidRPr="00973061" w:rsidRDefault="00E53886" w:rsidP="00E53886">
      <w:pPr>
        <w:rPr>
          <w:noProof/>
          <w:lang w:eastAsia="fr-FR"/>
        </w:rPr>
      </w:pPr>
      <w:r w:rsidRPr="00973061">
        <w:rPr>
          <w:b/>
          <w:noProof/>
          <w:lang w:eastAsia="fr-FR"/>
        </w:rPr>
        <w:t xml:space="preserve">There was some further progress on the recommendation on </w:t>
      </w:r>
      <w:r w:rsidRPr="00973061">
        <w:rPr>
          <w:b/>
          <w:bCs/>
          <w:noProof/>
          <w:lang w:eastAsia="fr-FR"/>
        </w:rPr>
        <w:t xml:space="preserve">the </w:t>
      </w:r>
      <w:r w:rsidRPr="00973061">
        <w:rPr>
          <w:b/>
          <w:noProof/>
          <w:lang w:eastAsia="fr-FR"/>
        </w:rPr>
        <w:t>digitalisation of civil, criminal and administrative proceedings</w:t>
      </w:r>
      <w:r w:rsidRPr="00973061">
        <w:rPr>
          <w:rStyle w:val="FootnoteReference"/>
          <w:b/>
          <w:noProof/>
          <w:lang w:eastAsia="fr-FR"/>
        </w:rPr>
        <w:footnoteReference w:id="7"/>
      </w:r>
      <w:r w:rsidRPr="00973061">
        <w:rPr>
          <w:b/>
          <w:noProof/>
          <w:lang w:eastAsia="fr-FR"/>
        </w:rPr>
        <w:t xml:space="preserve">. </w:t>
      </w:r>
      <w:r w:rsidRPr="00973061">
        <w:rPr>
          <w:noProof/>
          <w:lang w:eastAsia="fr-FR"/>
        </w:rPr>
        <w:t>The Government established in December 2025 a management committee to coordinate digitalisation initiatives</w:t>
      </w:r>
      <w:r w:rsidRPr="00973061">
        <w:rPr>
          <w:rStyle w:val="FootnoteReference"/>
          <w:noProof/>
          <w:lang w:eastAsia="fr-FR"/>
        </w:rPr>
        <w:footnoteReference w:id="8"/>
      </w:r>
      <w:r w:rsidRPr="00973061">
        <w:rPr>
          <w:noProof/>
          <w:lang w:eastAsia="fr-FR"/>
        </w:rPr>
        <w:t>, aiming for full digitalisation of the justice system through a modular, needs-based approach under the Paperless Justice strategy</w:t>
      </w:r>
      <w:r w:rsidRPr="00973061">
        <w:rPr>
          <w:rStyle w:val="FootnoteReference"/>
          <w:noProof/>
          <w:lang w:eastAsia="fr-FR"/>
        </w:rPr>
        <w:footnoteReference w:id="9"/>
      </w:r>
      <w:r w:rsidRPr="00973061">
        <w:rPr>
          <w:noProof/>
          <w:lang w:eastAsia="fr-FR"/>
        </w:rPr>
        <w:t>. The overall implementation timeframe is yet to be detailed, but comprehensive results are expected to be seen within two years, with specific milestones set out for civil, criminal, and administrative court proceedings</w:t>
      </w:r>
      <w:r w:rsidRPr="00973061">
        <w:rPr>
          <w:rStyle w:val="FootnoteReference"/>
          <w:noProof/>
          <w:lang w:eastAsia="fr-FR"/>
        </w:rPr>
        <w:footnoteReference w:id="10"/>
      </w:r>
      <w:r w:rsidRPr="00973061">
        <w:rPr>
          <w:noProof/>
          <w:lang w:eastAsia="fr-FR"/>
        </w:rPr>
        <w:t>. For civil proceedings, digitalisation projects aim</w:t>
      </w:r>
      <w:r w:rsidRPr="00973061" w:rsidDel="002C309B">
        <w:rPr>
          <w:noProof/>
          <w:lang w:eastAsia="fr-FR"/>
        </w:rPr>
        <w:t xml:space="preserve"> </w:t>
      </w:r>
      <w:r w:rsidRPr="00973061">
        <w:rPr>
          <w:noProof/>
          <w:lang w:eastAsia="fr-FR"/>
        </w:rPr>
        <w:t xml:space="preserve">to </w:t>
      </w:r>
      <w:r>
        <w:rPr>
          <w:noProof/>
          <w:lang w:eastAsia="fr-FR"/>
        </w:rPr>
        <w:t xml:space="preserve">digitalise document management </w:t>
      </w:r>
      <w:r w:rsidRPr="00973061">
        <w:rPr>
          <w:noProof/>
          <w:lang w:eastAsia="fr-FR"/>
        </w:rPr>
        <w:t xml:space="preserve">by </w:t>
      </w:r>
      <w:r>
        <w:rPr>
          <w:noProof/>
          <w:lang w:eastAsia="fr-FR"/>
        </w:rPr>
        <w:t xml:space="preserve">late </w:t>
      </w:r>
      <w:r w:rsidRPr="00973061">
        <w:rPr>
          <w:noProof/>
          <w:lang w:eastAsia="fr-FR"/>
        </w:rPr>
        <w:t xml:space="preserve">2026, implement digital civil dossiers, and secure data. In criminal proceedings, </w:t>
      </w:r>
      <w:r>
        <w:rPr>
          <w:noProof/>
          <w:lang w:eastAsia="fr-FR"/>
        </w:rPr>
        <w:t>digitalised</w:t>
      </w:r>
      <w:r w:rsidRPr="00973061">
        <w:rPr>
          <w:noProof/>
          <w:lang w:eastAsia="fr-FR"/>
        </w:rPr>
        <w:t xml:space="preserve"> management</w:t>
      </w:r>
      <w:r>
        <w:rPr>
          <w:noProof/>
          <w:lang w:eastAsia="fr-FR"/>
        </w:rPr>
        <w:t xml:space="preserve"> of documents, judgments and hearings</w:t>
      </w:r>
      <w:r w:rsidRPr="00973061">
        <w:rPr>
          <w:noProof/>
          <w:lang w:eastAsia="fr-FR"/>
        </w:rPr>
        <w:t xml:space="preserve"> </w:t>
      </w:r>
      <w:r>
        <w:rPr>
          <w:noProof/>
          <w:lang w:eastAsia="fr-FR"/>
        </w:rPr>
        <w:t>is</w:t>
      </w:r>
      <w:r w:rsidRPr="00973061">
        <w:rPr>
          <w:noProof/>
          <w:lang w:eastAsia="fr-FR"/>
        </w:rPr>
        <w:t xml:space="preserve"> expected to be completed by mid-202</w:t>
      </w:r>
      <w:r>
        <w:rPr>
          <w:noProof/>
          <w:lang w:eastAsia="fr-FR"/>
        </w:rPr>
        <w:t>7</w:t>
      </w:r>
      <w:r w:rsidRPr="00973061">
        <w:rPr>
          <w:noProof/>
          <w:lang w:eastAsia="fr-FR"/>
        </w:rPr>
        <w:t>, and execution of judgments by late 2027</w:t>
      </w:r>
      <w:r w:rsidRPr="00973061">
        <w:rPr>
          <w:rStyle w:val="FootnoteReference"/>
          <w:noProof/>
          <w:lang w:eastAsia="fr-FR"/>
        </w:rPr>
        <w:footnoteReference w:id="11"/>
      </w:r>
      <w:r w:rsidRPr="00973061">
        <w:rPr>
          <w:noProof/>
          <w:lang w:eastAsia="fr-FR"/>
        </w:rPr>
        <w:t xml:space="preserve">. </w:t>
      </w:r>
      <w:r>
        <w:rPr>
          <w:noProof/>
          <w:lang w:eastAsia="fr-FR"/>
        </w:rPr>
        <w:t>A centralised digital platform for case management will be developed for civil and criminal proceedings, integrating dedicated platforms for lawyers, notaries and bailiffs, and being accessible to prosecutors. For administrative proceedings, t</w:t>
      </w:r>
      <w:r w:rsidRPr="00973061">
        <w:rPr>
          <w:noProof/>
          <w:lang w:eastAsia="fr-FR"/>
        </w:rPr>
        <w:t xml:space="preserve">he platform MyGuichet was made available to legal professionals for </w:t>
      </w:r>
      <w:r>
        <w:rPr>
          <w:noProof/>
          <w:lang w:eastAsia="fr-FR"/>
        </w:rPr>
        <w:t>certain</w:t>
      </w:r>
      <w:r w:rsidRPr="00973061">
        <w:rPr>
          <w:noProof/>
          <w:lang w:eastAsia="fr-FR"/>
        </w:rPr>
        <w:t xml:space="preserve"> </w:t>
      </w:r>
      <w:r>
        <w:rPr>
          <w:noProof/>
          <w:lang w:eastAsia="fr-FR"/>
        </w:rPr>
        <w:t xml:space="preserve">procedures </w:t>
      </w:r>
      <w:r w:rsidRPr="00973061">
        <w:rPr>
          <w:noProof/>
          <w:lang w:eastAsia="fr-FR"/>
        </w:rPr>
        <w:t xml:space="preserve">in December 2025, with </w:t>
      </w:r>
      <w:r>
        <w:rPr>
          <w:noProof/>
          <w:lang w:eastAsia="fr-FR"/>
        </w:rPr>
        <w:t>additional administrative procedures to follow</w:t>
      </w:r>
      <w:r>
        <w:rPr>
          <w:rStyle w:val="FootnoteReference"/>
          <w:noProof/>
          <w:lang w:eastAsia="fr-FR"/>
        </w:rPr>
        <w:footnoteReference w:id="12"/>
      </w:r>
      <w:r>
        <w:rPr>
          <w:noProof/>
          <w:lang w:eastAsia="fr-FR"/>
        </w:rPr>
        <w:t>. T</w:t>
      </w:r>
      <w:r w:rsidRPr="00973061">
        <w:rPr>
          <w:noProof/>
          <w:lang w:eastAsia="fr-FR"/>
        </w:rPr>
        <w:t xml:space="preserve">he roll-out of measures to support administrative magistrates with automated drafting of judgments </w:t>
      </w:r>
      <w:r>
        <w:rPr>
          <w:noProof/>
          <w:lang w:eastAsia="fr-FR"/>
        </w:rPr>
        <w:t xml:space="preserve">is </w:t>
      </w:r>
      <w:r w:rsidRPr="00973061">
        <w:rPr>
          <w:noProof/>
          <w:lang w:eastAsia="fr-FR"/>
        </w:rPr>
        <w:t>expected by mid-2026</w:t>
      </w:r>
      <w:r w:rsidRPr="00973061">
        <w:rPr>
          <w:rStyle w:val="FootnoteReference"/>
          <w:noProof/>
          <w:lang w:eastAsia="fr-FR"/>
        </w:rPr>
        <w:footnoteReference w:id="13"/>
      </w:r>
      <w:r w:rsidRPr="00973061">
        <w:rPr>
          <w:noProof/>
          <w:lang w:eastAsia="fr-FR"/>
        </w:rPr>
        <w:t xml:space="preserve">. </w:t>
      </w:r>
      <w:r>
        <w:rPr>
          <w:noProof/>
          <w:lang w:eastAsia="fr-FR"/>
        </w:rPr>
        <w:t>T</w:t>
      </w:r>
      <w:r w:rsidRPr="00973061">
        <w:rPr>
          <w:noProof/>
          <w:lang w:eastAsia="fr-FR"/>
        </w:rPr>
        <w:t xml:space="preserve">he </w:t>
      </w:r>
      <w:r>
        <w:rPr>
          <w:noProof/>
          <w:lang w:eastAsia="fr-FR"/>
        </w:rPr>
        <w:t xml:space="preserve">management committee is preparing </w:t>
      </w:r>
      <w:r w:rsidRPr="00F8369F">
        <w:rPr>
          <w:noProof/>
          <w:lang w:eastAsia="fr-FR"/>
        </w:rPr>
        <w:t xml:space="preserve">several legislative initiatives </w:t>
      </w:r>
      <w:r w:rsidRPr="00973061">
        <w:rPr>
          <w:noProof/>
          <w:lang w:eastAsia="fr-FR"/>
        </w:rPr>
        <w:t>to adapt the legal framework</w:t>
      </w:r>
      <w:r>
        <w:rPr>
          <w:noProof/>
          <w:lang w:eastAsia="fr-FR"/>
        </w:rPr>
        <w:t xml:space="preserve"> of the justice system</w:t>
      </w:r>
      <w:r w:rsidRPr="00973061">
        <w:rPr>
          <w:noProof/>
          <w:lang w:eastAsia="fr-FR"/>
        </w:rPr>
        <w:t xml:space="preserve"> to digitalisation</w:t>
      </w:r>
      <w:r w:rsidRPr="00973061">
        <w:rPr>
          <w:rStyle w:val="FootnoteReference"/>
          <w:noProof/>
          <w:lang w:eastAsia="fr-FR"/>
        </w:rPr>
        <w:footnoteReference w:id="14"/>
      </w:r>
      <w:r>
        <w:rPr>
          <w:noProof/>
          <w:lang w:eastAsia="fr-FR"/>
        </w:rPr>
        <w:t>. The Government</w:t>
      </w:r>
      <w:r w:rsidRPr="00973061">
        <w:rPr>
          <w:noProof/>
          <w:lang w:eastAsia="fr-FR"/>
        </w:rPr>
        <w:t xml:space="preserve"> is centralising IT modernisation programmes, recruiting IT staff, improving communication, implementing pilot projects</w:t>
      </w:r>
      <w:r w:rsidRPr="00973061">
        <w:rPr>
          <w:rStyle w:val="FootnoteReference"/>
          <w:noProof/>
          <w:lang w:eastAsia="fr-FR"/>
        </w:rPr>
        <w:footnoteReference w:id="15"/>
      </w:r>
      <w:r w:rsidRPr="00973061">
        <w:rPr>
          <w:noProof/>
          <w:lang w:eastAsia="fr-FR"/>
        </w:rPr>
        <w:t xml:space="preserve"> and involving </w:t>
      </w:r>
      <w:r w:rsidRPr="00973061" w:rsidDel="00335245">
        <w:rPr>
          <w:noProof/>
          <w:lang w:eastAsia="fr-FR"/>
        </w:rPr>
        <w:t>end</w:t>
      </w:r>
      <w:r w:rsidRPr="00973061">
        <w:rPr>
          <w:noProof/>
          <w:lang w:eastAsia="fr-FR"/>
        </w:rPr>
        <w:t>-users in implementation</w:t>
      </w:r>
      <w:r w:rsidRPr="00973061">
        <w:rPr>
          <w:rStyle w:val="FootnoteReference"/>
          <w:noProof/>
          <w:lang w:eastAsia="fr-FR"/>
        </w:rPr>
        <w:footnoteReference w:id="16"/>
      </w:r>
      <w:r w:rsidRPr="00973061">
        <w:rPr>
          <w:noProof/>
          <w:lang w:eastAsia="fr-FR"/>
        </w:rPr>
        <w:t xml:space="preserve">. The Government </w:t>
      </w:r>
      <w:r>
        <w:rPr>
          <w:noProof/>
          <w:lang w:eastAsia="fr-FR"/>
        </w:rPr>
        <w:t>reported some implementation delays</w:t>
      </w:r>
      <w:r>
        <w:rPr>
          <w:rStyle w:val="FootnoteReference"/>
          <w:noProof/>
          <w:lang w:eastAsia="fr-FR"/>
        </w:rPr>
        <w:footnoteReference w:id="17"/>
      </w:r>
      <w:r>
        <w:rPr>
          <w:noProof/>
          <w:lang w:eastAsia="fr-FR"/>
        </w:rPr>
        <w:t xml:space="preserve"> and </w:t>
      </w:r>
      <w:r w:rsidRPr="00973061">
        <w:rPr>
          <w:noProof/>
          <w:lang w:eastAsia="fr-FR"/>
        </w:rPr>
        <w:t>identifie</w:t>
      </w:r>
      <w:r>
        <w:rPr>
          <w:noProof/>
          <w:lang w:eastAsia="fr-FR"/>
        </w:rPr>
        <w:t>d</w:t>
      </w:r>
      <w:r w:rsidRPr="00973061">
        <w:rPr>
          <w:noProof/>
          <w:lang w:eastAsia="fr-FR"/>
        </w:rPr>
        <w:t xml:space="preserve"> a number of shortcomings, such as few digital solutions to initiate and follow proceedings across jurisdictions</w:t>
      </w:r>
      <w:r w:rsidRPr="00973061">
        <w:rPr>
          <w:rStyle w:val="FootnoteReference"/>
          <w:noProof/>
          <w:lang w:eastAsia="fr-FR"/>
        </w:rPr>
        <w:footnoteReference w:id="18"/>
      </w:r>
      <w:r w:rsidRPr="00973061">
        <w:rPr>
          <w:noProof/>
          <w:lang w:eastAsia="fr-FR"/>
        </w:rPr>
        <w:t>, a comparatively small user base, limited IT staff, fragmented digital networks, outdated tools and heterogenous workflows that contribute to challenging system interoperability</w:t>
      </w:r>
      <w:r w:rsidRPr="00973061">
        <w:rPr>
          <w:rStyle w:val="FootnoteReference"/>
          <w:noProof/>
          <w:lang w:eastAsia="fr-FR"/>
        </w:rPr>
        <w:footnoteReference w:id="19"/>
      </w:r>
      <w:r w:rsidRPr="00973061">
        <w:rPr>
          <w:noProof/>
          <w:lang w:eastAsia="fr-FR"/>
        </w:rPr>
        <w:t>. Overall, some further progress has been made on the recommendation in the 2025 Rule of Law Report, while additional steps are needed to achieve full digitalisation of civil, criminal, and administrative proceedings.</w:t>
      </w:r>
    </w:p>
    <w:p w14:paraId="64D79DDF" w14:textId="77777777" w:rsidR="00E53886" w:rsidRPr="00973061" w:rsidRDefault="00E53886" w:rsidP="00E53886">
      <w:pPr>
        <w:rPr>
          <w:bCs/>
          <w:noProof/>
          <w:lang w:eastAsia="fr-FR"/>
        </w:rPr>
      </w:pPr>
      <w:r w:rsidRPr="00973061">
        <w:rPr>
          <w:b/>
          <w:noProof/>
          <w:lang w:eastAsia="fr-FR"/>
        </w:rPr>
        <w:t xml:space="preserve">The reform of the criminal justice system as regards minors remains pending. </w:t>
      </w:r>
      <w:r w:rsidRPr="00973061">
        <w:rPr>
          <w:bCs/>
          <w:noProof/>
          <w:lang w:eastAsia="fr-FR"/>
        </w:rPr>
        <w:t>As reported in 2025</w:t>
      </w:r>
      <w:r w:rsidRPr="00973061">
        <w:rPr>
          <w:rStyle w:val="FootnoteReference"/>
          <w:bCs/>
          <w:noProof/>
          <w:lang w:eastAsia="fr-FR"/>
        </w:rPr>
        <w:footnoteReference w:id="20"/>
      </w:r>
      <w:r w:rsidRPr="00973061">
        <w:rPr>
          <w:bCs/>
          <w:noProof/>
          <w:lang w:eastAsia="fr-FR"/>
        </w:rPr>
        <w:t>, the three draft laws to reform the role and treatment of minors in criminal proceedings remain under discussion in Parliament, awaiting the opinion of the Council of State</w:t>
      </w:r>
      <w:r w:rsidRPr="00973061">
        <w:rPr>
          <w:rStyle w:val="FootnoteReference"/>
          <w:bCs/>
          <w:noProof/>
          <w:lang w:eastAsia="fr-FR"/>
        </w:rPr>
        <w:footnoteReference w:id="21"/>
      </w:r>
      <w:r w:rsidRPr="00973061">
        <w:rPr>
          <w:bCs/>
          <w:noProof/>
          <w:lang w:eastAsia="fr-FR"/>
        </w:rPr>
        <w:t xml:space="preserve">. Stakeholders’ concerns remain over </w:t>
      </w:r>
      <w:r w:rsidRPr="0098378A">
        <w:rPr>
          <w:noProof/>
        </w:rPr>
        <w:t xml:space="preserve">the </w:t>
      </w:r>
      <w:r w:rsidRPr="00973061">
        <w:rPr>
          <w:noProof/>
          <w:lang w:eastAsia="fr-FR"/>
        </w:rPr>
        <w:t>lack of sufficient procedural safeguards and</w:t>
      </w:r>
      <w:r w:rsidRPr="00973061">
        <w:rPr>
          <w:bCs/>
          <w:noProof/>
          <w:lang w:eastAsia="fr-FR"/>
        </w:rPr>
        <w:t xml:space="preserve"> the </w:t>
      </w:r>
      <w:r w:rsidRPr="00973061">
        <w:rPr>
          <w:noProof/>
          <w:lang w:eastAsia="fr-FR"/>
        </w:rPr>
        <w:t>limited specialisation of justice professionals</w:t>
      </w:r>
      <w:r w:rsidRPr="00973061">
        <w:rPr>
          <w:rStyle w:val="FootnoteReference"/>
          <w:noProof/>
          <w:lang w:eastAsia="fr-FR"/>
        </w:rPr>
        <w:footnoteReference w:id="22"/>
      </w:r>
      <w:r w:rsidRPr="00973061">
        <w:rPr>
          <w:noProof/>
          <w:lang w:eastAsia="fr-FR"/>
        </w:rPr>
        <w:t>.</w:t>
      </w:r>
      <w:r w:rsidRPr="00973061">
        <w:rPr>
          <w:bCs/>
          <w:noProof/>
          <w:lang w:eastAsia="fr-FR"/>
        </w:rPr>
        <w:t xml:space="preserve"> Over 120 lawyers have been added to the list of specialists in law on minors</w:t>
      </w:r>
      <w:r>
        <w:rPr>
          <w:rStyle w:val="FootnoteReference"/>
          <w:bCs/>
          <w:noProof/>
          <w:lang w:eastAsia="fr-FR"/>
        </w:rPr>
        <w:footnoteReference w:id="23"/>
      </w:r>
      <w:r w:rsidRPr="00973061">
        <w:rPr>
          <w:bCs/>
          <w:noProof/>
          <w:lang w:eastAsia="fr-FR"/>
        </w:rPr>
        <w:t>.</w:t>
      </w:r>
    </w:p>
    <w:p w14:paraId="3ED06321" w14:textId="77777777" w:rsidR="00E53886" w:rsidRPr="00973061" w:rsidRDefault="00E53886" w:rsidP="00E53886">
      <w:pPr>
        <w:rPr>
          <w:bCs/>
          <w:noProof/>
          <w:lang w:eastAsia="fr-FR"/>
        </w:rPr>
      </w:pPr>
      <w:r w:rsidRPr="00973061">
        <w:rPr>
          <w:b/>
          <w:noProof/>
          <w:lang w:eastAsia="fr-FR"/>
        </w:rPr>
        <w:t>Initiatives are underway to support recruitment needs in the judiciary.</w:t>
      </w:r>
      <w:r w:rsidRPr="00973061">
        <w:rPr>
          <w:bCs/>
          <w:noProof/>
          <w:lang w:eastAsia="fr-FR"/>
        </w:rPr>
        <w:t xml:space="preserve"> In April 2025, one of the two draft laws intended to reform the recruitment system of magistrates </w:t>
      </w:r>
      <w:r w:rsidRPr="00973061">
        <w:rPr>
          <w:noProof/>
        </w:rPr>
        <w:t>came into force. This</w:t>
      </w:r>
      <w:r w:rsidRPr="00973061">
        <w:rPr>
          <w:bCs/>
          <w:noProof/>
          <w:lang w:eastAsia="fr-FR"/>
        </w:rPr>
        <w:t xml:space="preserve"> law establishes access to the magistracy with two years' experience, subject to an examination, or five years’ experience, without the need for an examination</w:t>
      </w:r>
      <w:r w:rsidRPr="00973061">
        <w:rPr>
          <w:rStyle w:val="FootnoteReference"/>
          <w:bCs/>
          <w:noProof/>
          <w:lang w:eastAsia="fr-FR"/>
        </w:rPr>
        <w:footnoteReference w:id="24"/>
      </w:r>
      <w:r w:rsidRPr="00973061">
        <w:rPr>
          <w:bCs/>
          <w:noProof/>
          <w:lang w:eastAsia="fr-FR"/>
        </w:rPr>
        <w:t>. By the end of 2025, there were 42 recruitments, up from 28 by the end of 2024, with positive projections for 2026</w:t>
      </w:r>
      <w:r w:rsidRPr="00973061">
        <w:rPr>
          <w:rStyle w:val="FootnoteReference"/>
          <w:bCs/>
          <w:noProof/>
          <w:lang w:eastAsia="fr-FR"/>
        </w:rPr>
        <w:footnoteReference w:id="25"/>
      </w:r>
      <w:r w:rsidRPr="00973061">
        <w:rPr>
          <w:bCs/>
          <w:noProof/>
          <w:lang w:eastAsia="fr-FR"/>
        </w:rPr>
        <w:t>. Both prosecutors</w:t>
      </w:r>
      <w:r w:rsidRPr="00973061">
        <w:rPr>
          <w:rStyle w:val="FootnoteReference"/>
          <w:bCs/>
          <w:noProof/>
          <w:lang w:eastAsia="fr-FR"/>
        </w:rPr>
        <w:footnoteReference w:id="26"/>
      </w:r>
      <w:r w:rsidRPr="00973061">
        <w:rPr>
          <w:bCs/>
          <w:noProof/>
          <w:lang w:eastAsia="fr-FR"/>
        </w:rPr>
        <w:t xml:space="preserve"> and judges welcome these developments. Despite </w:t>
      </w:r>
      <w:r>
        <w:rPr>
          <w:bCs/>
          <w:noProof/>
          <w:lang w:eastAsia="fr-FR"/>
        </w:rPr>
        <w:t xml:space="preserve">these </w:t>
      </w:r>
      <w:r w:rsidRPr="00973061">
        <w:rPr>
          <w:bCs/>
          <w:noProof/>
          <w:lang w:eastAsia="fr-FR"/>
        </w:rPr>
        <w:t>recent hiring efforts,</w:t>
      </w:r>
      <w:r w:rsidRPr="00973061">
        <w:rPr>
          <w:b/>
          <w:noProof/>
          <w:lang w:eastAsia="fr-FR"/>
        </w:rPr>
        <w:t xml:space="preserve"> </w:t>
      </w:r>
      <w:r w:rsidRPr="00973061">
        <w:rPr>
          <w:bCs/>
          <w:noProof/>
          <w:lang w:eastAsia="fr-FR"/>
        </w:rPr>
        <w:t>all branches of the judiciary continue to report difficulties in filling vacancies, especially in the Court of Appeal</w:t>
      </w:r>
      <w:r w:rsidRPr="00973061">
        <w:rPr>
          <w:rStyle w:val="FootnoteReference"/>
          <w:bCs/>
          <w:noProof/>
          <w:lang w:eastAsia="fr-FR"/>
        </w:rPr>
        <w:footnoteReference w:id="27"/>
      </w:r>
      <w:r w:rsidRPr="00973061">
        <w:rPr>
          <w:bCs/>
          <w:noProof/>
          <w:lang w:eastAsia="fr-FR"/>
        </w:rPr>
        <w:t>, which is responsible for civil, commercial, and criminal cases.</w:t>
      </w:r>
      <w:r>
        <w:rPr>
          <w:bCs/>
          <w:noProof/>
          <w:lang w:eastAsia="fr-FR"/>
        </w:rPr>
        <w:t xml:space="preserve"> </w:t>
      </w:r>
      <w:r w:rsidRPr="00973061">
        <w:rPr>
          <w:bCs/>
          <w:noProof/>
          <w:lang w:eastAsia="fr-FR"/>
        </w:rPr>
        <w:t>Judges highlight the need to reinforce training provision for new recruitments and continue to point to the challenge that it is to find candidates that are fluent in all three national languages</w:t>
      </w:r>
      <w:r w:rsidRPr="00973061">
        <w:rPr>
          <w:rStyle w:val="FootnoteReference"/>
          <w:bCs/>
          <w:noProof/>
          <w:lang w:eastAsia="fr-FR"/>
        </w:rPr>
        <w:footnoteReference w:id="28"/>
      </w:r>
      <w:r w:rsidRPr="00973061">
        <w:rPr>
          <w:bCs/>
          <w:noProof/>
          <w:lang w:eastAsia="fr-FR"/>
        </w:rPr>
        <w:t>. The Government intends to increase the compulsory training of judges from 12 to 24 months</w:t>
      </w:r>
      <w:r w:rsidRPr="00973061">
        <w:rPr>
          <w:rStyle w:val="FootnoteReference"/>
          <w:bCs/>
          <w:noProof/>
          <w:lang w:eastAsia="fr-FR"/>
        </w:rPr>
        <w:footnoteReference w:id="29"/>
      </w:r>
      <w:r w:rsidRPr="00973061">
        <w:rPr>
          <w:bCs/>
          <w:noProof/>
          <w:lang w:eastAsia="fr-FR"/>
        </w:rPr>
        <w:t>. The Council of State emphasises the importance of increasing the appeal of a career in the magistracy, and issued its opinion on the remaining draft law, recommending adding English as a fourth required language</w:t>
      </w:r>
      <w:r w:rsidRPr="00973061">
        <w:rPr>
          <w:rStyle w:val="FootnoteReference"/>
          <w:bCs/>
          <w:noProof/>
          <w:lang w:eastAsia="fr-FR"/>
        </w:rPr>
        <w:footnoteReference w:id="30"/>
      </w:r>
      <w:r w:rsidRPr="00973061">
        <w:rPr>
          <w:bCs/>
          <w:noProof/>
          <w:lang w:eastAsia="fr-FR"/>
        </w:rPr>
        <w:t>. The Government is planning to address the logistical shortcomings due to the rising number of judges, which is creating difficulties in accommodating them within the existing buildings</w:t>
      </w:r>
      <w:r>
        <w:rPr>
          <w:rStyle w:val="FootnoteReference"/>
          <w:bCs/>
          <w:noProof/>
          <w:lang w:eastAsia="fr-FR"/>
        </w:rPr>
        <w:footnoteReference w:id="31"/>
      </w:r>
      <w:r w:rsidRPr="00973061">
        <w:rPr>
          <w:bCs/>
          <w:noProof/>
          <w:lang w:eastAsia="fr-FR"/>
        </w:rPr>
        <w:t>.</w:t>
      </w:r>
    </w:p>
    <w:p w14:paraId="5B77D123" w14:textId="77777777" w:rsidR="00E53886" w:rsidRPr="00973061" w:rsidRDefault="00E53886" w:rsidP="00BA67FB">
      <w:pPr>
        <w:pStyle w:val="Heading2"/>
        <w:numPr>
          <w:ilvl w:val="0"/>
          <w:numId w:val="0"/>
        </w:numPr>
        <w:rPr>
          <w:noProof/>
        </w:rPr>
      </w:pPr>
      <w:r w:rsidRPr="00973061">
        <w:rPr>
          <w:noProof/>
        </w:rPr>
        <w:t>Efficiency</w:t>
      </w:r>
    </w:p>
    <w:p w14:paraId="1E9F17FD" w14:textId="77777777" w:rsidR="00E53886" w:rsidRPr="00973061" w:rsidRDefault="00E53886" w:rsidP="00E53886">
      <w:pPr>
        <w:rPr>
          <w:bCs/>
          <w:noProof/>
          <w:lang w:eastAsia="fr-FR"/>
        </w:rPr>
      </w:pPr>
      <w:r w:rsidRPr="00973061">
        <w:rPr>
          <w:b/>
          <w:noProof/>
          <w:lang w:eastAsia="fr-FR"/>
        </w:rPr>
        <w:t xml:space="preserve">Plans to establish a new tribunal in the administrative jurisdiction are under consideration. </w:t>
      </w:r>
      <w:r w:rsidRPr="00973061">
        <w:rPr>
          <w:bCs/>
          <w:noProof/>
          <w:lang w:eastAsia="fr-FR"/>
        </w:rPr>
        <w:t>The number of cases in the administrative jurisdiction has been increasing, especially in migration and asylum matters</w:t>
      </w:r>
      <w:r w:rsidRPr="00973061">
        <w:rPr>
          <w:rStyle w:val="FootnoteReference"/>
          <w:bCs/>
          <w:noProof/>
          <w:lang w:eastAsia="fr-FR"/>
        </w:rPr>
        <w:footnoteReference w:id="32"/>
      </w:r>
      <w:r w:rsidRPr="00973061">
        <w:rPr>
          <w:bCs/>
          <w:noProof/>
          <w:lang w:eastAsia="fr-FR"/>
        </w:rPr>
        <w:t>. The Parliament is discussing a draft law to expedite case management and ensure flexible workload distribution</w:t>
      </w:r>
      <w:r>
        <w:rPr>
          <w:bCs/>
          <w:noProof/>
          <w:lang w:eastAsia="fr-FR"/>
        </w:rPr>
        <w:t xml:space="preserve"> by </w:t>
      </w:r>
      <w:r w:rsidRPr="00973061">
        <w:rPr>
          <w:bCs/>
          <w:noProof/>
          <w:lang w:eastAsia="fr-FR"/>
        </w:rPr>
        <w:t>creat</w:t>
      </w:r>
      <w:r>
        <w:rPr>
          <w:bCs/>
          <w:noProof/>
          <w:lang w:eastAsia="fr-FR"/>
        </w:rPr>
        <w:t>ing</w:t>
      </w:r>
      <w:r w:rsidRPr="00973061">
        <w:rPr>
          <w:bCs/>
          <w:noProof/>
          <w:lang w:eastAsia="fr-FR"/>
        </w:rPr>
        <w:t xml:space="preserve"> a specialised </w:t>
      </w:r>
      <w:r w:rsidRPr="009A69DC">
        <w:rPr>
          <w:bCs/>
          <w:noProof/>
          <w:lang w:eastAsia="fr-FR"/>
        </w:rPr>
        <w:t xml:space="preserve">tribunal </w:t>
      </w:r>
      <w:r>
        <w:rPr>
          <w:bCs/>
          <w:noProof/>
          <w:lang w:eastAsia="fr-FR"/>
        </w:rPr>
        <w:t xml:space="preserve">for </w:t>
      </w:r>
      <w:r w:rsidRPr="00973061">
        <w:rPr>
          <w:bCs/>
          <w:noProof/>
          <w:lang w:eastAsia="fr-FR"/>
        </w:rPr>
        <w:t>asylum and migration</w:t>
      </w:r>
      <w:r w:rsidRPr="00973061">
        <w:rPr>
          <w:rStyle w:val="FootnoteReference"/>
          <w:bCs/>
          <w:noProof/>
          <w:lang w:eastAsia="fr-FR"/>
        </w:rPr>
        <w:footnoteReference w:id="33"/>
      </w:r>
      <w:r w:rsidRPr="00973061">
        <w:rPr>
          <w:bCs/>
          <w:noProof/>
          <w:lang w:eastAsia="fr-FR"/>
        </w:rPr>
        <w:t xml:space="preserve">. This initiative aims to </w:t>
      </w:r>
      <w:r>
        <w:rPr>
          <w:bCs/>
          <w:noProof/>
          <w:lang w:eastAsia="fr-FR"/>
        </w:rPr>
        <w:t xml:space="preserve">increase the efficiency of the administrative jurisdiction overall, by </w:t>
      </w:r>
      <w:r w:rsidRPr="00973061">
        <w:rPr>
          <w:bCs/>
          <w:noProof/>
          <w:lang w:eastAsia="fr-FR"/>
        </w:rPr>
        <w:t>tackl</w:t>
      </w:r>
      <w:r>
        <w:rPr>
          <w:bCs/>
          <w:noProof/>
          <w:lang w:eastAsia="fr-FR"/>
        </w:rPr>
        <w:t>ing</w:t>
      </w:r>
      <w:r w:rsidRPr="00973061">
        <w:rPr>
          <w:bCs/>
          <w:noProof/>
          <w:lang w:eastAsia="fr-FR"/>
        </w:rPr>
        <w:t xml:space="preserve"> rising and fluctuating caseloads that create bottlenecks</w:t>
      </w:r>
      <w:r>
        <w:rPr>
          <w:rStyle w:val="FootnoteReference"/>
          <w:bCs/>
          <w:noProof/>
          <w:lang w:eastAsia="fr-FR"/>
        </w:rPr>
        <w:footnoteReference w:id="34"/>
      </w:r>
      <w:r w:rsidRPr="00973061">
        <w:rPr>
          <w:bCs/>
          <w:noProof/>
          <w:lang w:eastAsia="fr-FR"/>
        </w:rPr>
        <w:t>. Stakeholders express</w:t>
      </w:r>
      <w:r>
        <w:rPr>
          <w:bCs/>
          <w:noProof/>
          <w:lang w:eastAsia="fr-FR"/>
        </w:rPr>
        <w:t>ed</w:t>
      </w:r>
      <w:r w:rsidRPr="00973061">
        <w:rPr>
          <w:bCs/>
          <w:noProof/>
          <w:lang w:eastAsia="fr-FR"/>
        </w:rPr>
        <w:t xml:space="preserve"> concerns over the proposals, which would initially rely heavily on existing judges, and </w:t>
      </w:r>
      <w:r>
        <w:rPr>
          <w:bCs/>
          <w:noProof/>
          <w:lang w:eastAsia="fr-FR"/>
        </w:rPr>
        <w:t xml:space="preserve">would </w:t>
      </w:r>
      <w:r w:rsidRPr="00973061">
        <w:rPr>
          <w:bCs/>
          <w:noProof/>
          <w:lang w:eastAsia="fr-FR"/>
        </w:rPr>
        <w:t>envisage additional remuneration components</w:t>
      </w:r>
      <w:r>
        <w:rPr>
          <w:bCs/>
          <w:noProof/>
          <w:lang w:eastAsia="fr-FR"/>
        </w:rPr>
        <w:t xml:space="preserve"> for those judges serving in the new specialised tribunal</w:t>
      </w:r>
      <w:r w:rsidRPr="00973061">
        <w:rPr>
          <w:rStyle w:val="FootnoteReference"/>
          <w:bCs/>
          <w:noProof/>
          <w:lang w:eastAsia="fr-FR"/>
        </w:rPr>
        <w:footnoteReference w:id="35"/>
      </w:r>
      <w:r w:rsidRPr="00973061">
        <w:rPr>
          <w:bCs/>
          <w:i/>
          <w:iCs/>
          <w:noProof/>
          <w:lang w:eastAsia="fr-FR"/>
        </w:rPr>
        <w:t>.</w:t>
      </w:r>
    </w:p>
    <w:p w14:paraId="58680A71" w14:textId="7E6EF34D" w:rsidR="00E53886" w:rsidRPr="00973061" w:rsidRDefault="00E53886" w:rsidP="00E53886">
      <w:pPr>
        <w:rPr>
          <w:b/>
          <w:noProof/>
          <w:lang w:eastAsia="fr-FR"/>
        </w:rPr>
      </w:pPr>
      <w:r w:rsidRPr="00973061">
        <w:rPr>
          <w:b/>
          <w:noProof/>
          <w:lang w:eastAsia="fr-FR"/>
        </w:rPr>
        <w:t xml:space="preserve">While the justice system continues to perform efficiently overall, disposition times have increased across all instances. </w:t>
      </w:r>
      <w:r w:rsidRPr="00973061">
        <w:rPr>
          <w:bCs/>
          <w:noProof/>
          <w:lang w:eastAsia="fr-FR"/>
        </w:rPr>
        <w:t>Courts remain efficient, although the disposition time in civil, commercial, administrative and other cases has increased in recent years, from 198 days in 2023 to 233 days in 2024. More specifically, disposition times kept rising in litigious civil and commercial cases at first instance, from 221 days in 2023 to 251 days in 2024. Delays are more pronounced at higher instances for these cases, with disposition times reaching 527 days at second instance in 2024, and remaining relatively high at third instance, with 352 days</w:t>
      </w:r>
      <w:r w:rsidRPr="00973061">
        <w:rPr>
          <w:rStyle w:val="FootnoteReference"/>
          <w:bCs/>
          <w:noProof/>
          <w:lang w:eastAsia="fr-FR"/>
        </w:rPr>
        <w:footnoteReference w:id="36"/>
      </w:r>
      <w:r w:rsidRPr="00973061">
        <w:rPr>
          <w:bCs/>
          <w:noProof/>
          <w:lang w:eastAsia="fr-FR"/>
        </w:rPr>
        <w:t>. Disposition time has especially increased in administrative cases at first instance, from 479 days in 2023 to 720 days in 2024</w:t>
      </w:r>
      <w:r w:rsidRPr="00973061">
        <w:rPr>
          <w:rStyle w:val="FootnoteReference"/>
          <w:bCs/>
          <w:noProof/>
          <w:lang w:eastAsia="fr-FR"/>
        </w:rPr>
        <w:footnoteReference w:id="37"/>
      </w:r>
      <w:r w:rsidRPr="00973061">
        <w:rPr>
          <w:bCs/>
          <w:noProof/>
          <w:lang w:eastAsia="fr-FR"/>
        </w:rPr>
        <w:t>. In parallel, the rate of resolving civil, commercial, administrative and other cases has been reduced from 96% in 2023 to 90% in 2024, largely due to the administrative jurisdiction, which dropped from 98% in 202</w:t>
      </w:r>
      <w:r w:rsidR="005347EB">
        <w:rPr>
          <w:bCs/>
          <w:noProof/>
          <w:lang w:eastAsia="fr-FR"/>
        </w:rPr>
        <w:t>3</w:t>
      </w:r>
      <w:r w:rsidRPr="00973061">
        <w:rPr>
          <w:bCs/>
          <w:noProof/>
          <w:lang w:eastAsia="fr-FR"/>
        </w:rPr>
        <w:t xml:space="preserve"> to 60% in 2024</w:t>
      </w:r>
      <w:r w:rsidRPr="00973061">
        <w:rPr>
          <w:rStyle w:val="FootnoteReference"/>
          <w:bCs/>
          <w:noProof/>
          <w:lang w:eastAsia="fr-FR"/>
        </w:rPr>
        <w:footnoteReference w:id="38"/>
      </w:r>
      <w:r w:rsidRPr="00973061">
        <w:rPr>
          <w:bCs/>
          <w:noProof/>
          <w:lang w:eastAsia="fr-FR"/>
        </w:rPr>
        <w:t>. Consequently, the backlog has increased slightly, but it remains among the lowest in the EU</w:t>
      </w:r>
      <w:r w:rsidRPr="00973061">
        <w:rPr>
          <w:rStyle w:val="FootnoteReference"/>
          <w:bCs/>
          <w:noProof/>
          <w:lang w:eastAsia="fr-FR"/>
        </w:rPr>
        <w:footnoteReference w:id="39"/>
      </w:r>
      <w:r w:rsidRPr="00973061">
        <w:rPr>
          <w:bCs/>
          <w:noProof/>
          <w:lang w:eastAsia="fr-FR"/>
        </w:rPr>
        <w:t>.</w:t>
      </w:r>
    </w:p>
    <w:p w14:paraId="2A658079" w14:textId="13406B09" w:rsidR="00E53886" w:rsidRPr="00BA67FB" w:rsidRDefault="00E53886" w:rsidP="00E17E28">
      <w:pPr>
        <w:pStyle w:val="Heading1"/>
        <w:numPr>
          <w:ilvl w:val="0"/>
          <w:numId w:val="40"/>
        </w:numPr>
        <w:spacing w:before="0"/>
        <w:rPr>
          <w:noProof/>
          <w:u w:val="single"/>
        </w:rPr>
      </w:pPr>
      <w:r w:rsidRPr="00BA67FB">
        <w:rPr>
          <w:noProof/>
          <w:u w:val="single"/>
        </w:rPr>
        <w:t>Anti-Corruption Framework</w:t>
      </w:r>
      <w:r w:rsidRPr="00BA67FB" w:rsidDel="00D67844">
        <w:rPr>
          <w:noProof/>
          <w:u w:val="single"/>
        </w:rPr>
        <w:t xml:space="preserve"> </w:t>
      </w:r>
    </w:p>
    <w:p w14:paraId="12FE5942" w14:textId="77777777" w:rsidR="00E53886" w:rsidRPr="00973061" w:rsidRDefault="00E53886" w:rsidP="00E53886">
      <w:pPr>
        <w:pStyle w:val="Bodytext10"/>
        <w:jc w:val="both"/>
        <w:rPr>
          <w:noProof/>
          <w:szCs w:val="24"/>
        </w:rPr>
      </w:pPr>
      <w:r w:rsidRPr="00D007DA">
        <w:rPr>
          <w:rStyle w:val="Bodytext1"/>
          <w:b/>
          <w:noProof/>
          <w:szCs w:val="24"/>
        </w:rPr>
        <w:t xml:space="preserve">The perception among experts, </w:t>
      </w:r>
      <w:r w:rsidRPr="543BFD55">
        <w:rPr>
          <w:rStyle w:val="Bodytext1"/>
          <w:b/>
          <w:noProof/>
          <w:szCs w:val="24"/>
        </w:rPr>
        <w:t xml:space="preserve">citizens and </w:t>
      </w:r>
      <w:r w:rsidRPr="00D007DA">
        <w:rPr>
          <w:rStyle w:val="Bodytext1"/>
          <w:b/>
          <w:noProof/>
          <w:szCs w:val="24"/>
        </w:rPr>
        <w:t xml:space="preserve">business executives is that </w:t>
      </w:r>
      <w:r w:rsidRPr="00D007DA" w:rsidDel="00751926">
        <w:rPr>
          <w:rStyle w:val="Bodytext1"/>
          <w:b/>
          <w:noProof/>
          <w:szCs w:val="24"/>
        </w:rPr>
        <w:t>Luxembourg is one of the least corrupt countries in the EU and the world</w:t>
      </w:r>
      <w:r w:rsidRPr="00D007DA">
        <w:rPr>
          <w:rStyle w:val="Bodytext1"/>
          <w:b/>
          <w:noProof/>
          <w:szCs w:val="24"/>
        </w:rPr>
        <w:t xml:space="preserve">. </w:t>
      </w:r>
      <w:r w:rsidRPr="00D007DA">
        <w:rPr>
          <w:rStyle w:val="Bodytext1"/>
          <w:noProof/>
          <w:szCs w:val="24"/>
        </w:rPr>
        <w:t xml:space="preserve">In the </w:t>
      </w:r>
      <w:r w:rsidRPr="00D007DA">
        <w:rPr>
          <w:rStyle w:val="Bodytext1"/>
          <w:noProof/>
          <w:szCs w:val="24"/>
          <w:lang w:eastAsia="bg-BG" w:bidi="bg-BG"/>
        </w:rPr>
        <w:t xml:space="preserve">2025 </w:t>
      </w:r>
      <w:r w:rsidRPr="00D007DA">
        <w:rPr>
          <w:rStyle w:val="Bodytext1"/>
          <w:noProof/>
          <w:szCs w:val="24"/>
        </w:rPr>
        <w:t xml:space="preserve">Corruption Perceptions Index by Transparency International, Luxembourg scores </w:t>
      </w:r>
      <w:r w:rsidRPr="00D007DA">
        <w:rPr>
          <w:rStyle w:val="Bodytext1"/>
          <w:noProof/>
          <w:szCs w:val="24"/>
          <w:lang w:eastAsia="bg-BG" w:bidi="bg-BG"/>
        </w:rPr>
        <w:t xml:space="preserve">78/100, </w:t>
      </w:r>
      <w:r w:rsidRPr="00D007DA">
        <w:rPr>
          <w:rStyle w:val="Bodytext1"/>
          <w:noProof/>
          <w:szCs w:val="24"/>
        </w:rPr>
        <w:t>ranks 4</w:t>
      </w:r>
      <w:r w:rsidRPr="00D007DA">
        <w:rPr>
          <w:rStyle w:val="Bodytext1"/>
          <w:noProof/>
          <w:szCs w:val="24"/>
          <w:vertAlign w:val="superscript"/>
        </w:rPr>
        <w:t>th</w:t>
      </w:r>
      <w:r w:rsidRPr="00D007DA">
        <w:rPr>
          <w:rStyle w:val="Bodytext1"/>
          <w:noProof/>
          <w:szCs w:val="24"/>
        </w:rPr>
        <w:t xml:space="preserve"> in the European Union and 8</w:t>
      </w:r>
      <w:r w:rsidRPr="00D007DA">
        <w:rPr>
          <w:rStyle w:val="Bodytext1"/>
          <w:noProof/>
          <w:szCs w:val="24"/>
          <w:vertAlign w:val="superscript"/>
        </w:rPr>
        <w:t>th</w:t>
      </w:r>
      <w:r w:rsidRPr="00D007DA">
        <w:rPr>
          <w:rStyle w:val="Bodytext1"/>
          <w:noProof/>
          <w:szCs w:val="24"/>
        </w:rPr>
        <w:t xml:space="preserve"> globally</w:t>
      </w:r>
      <w:r w:rsidRPr="543BFD55">
        <w:rPr>
          <w:rStyle w:val="Bodytext1"/>
          <w:noProof/>
          <w:szCs w:val="24"/>
          <w:vertAlign w:val="superscript"/>
        </w:rPr>
        <w:footnoteReference w:id="40"/>
      </w:r>
      <w:r w:rsidRPr="00D007DA">
        <w:rPr>
          <w:rStyle w:val="Bodytext1"/>
          <w:noProof/>
          <w:szCs w:val="24"/>
        </w:rPr>
        <w:t>. This perception has been relatively stable</w:t>
      </w:r>
      <w:r w:rsidRPr="543BFD55">
        <w:rPr>
          <w:rStyle w:val="Bodytext1"/>
          <w:noProof/>
          <w:szCs w:val="24"/>
        </w:rPr>
        <w:t xml:space="preserve"> over the past five years</w:t>
      </w:r>
      <w:r w:rsidRPr="543BFD55">
        <w:rPr>
          <w:rStyle w:val="Bodytext1"/>
          <w:noProof/>
          <w:szCs w:val="24"/>
          <w:vertAlign w:val="superscript"/>
        </w:rPr>
        <w:footnoteReference w:id="41"/>
      </w:r>
      <w:r w:rsidRPr="00D007DA">
        <w:rPr>
          <w:rStyle w:val="Bodytext1"/>
          <w:noProof/>
          <w:szCs w:val="24"/>
        </w:rPr>
        <w:t xml:space="preserve">. The </w:t>
      </w:r>
      <w:r w:rsidRPr="00D007DA">
        <w:rPr>
          <w:rStyle w:val="Bodytext1"/>
          <w:noProof/>
          <w:szCs w:val="24"/>
          <w:lang w:eastAsia="bg-BG" w:bidi="bg-BG"/>
        </w:rPr>
        <w:t xml:space="preserve">2026 </w:t>
      </w:r>
      <w:r w:rsidRPr="00D007DA">
        <w:rPr>
          <w:rStyle w:val="Bodytext1"/>
          <w:noProof/>
          <w:szCs w:val="24"/>
        </w:rPr>
        <w:t xml:space="preserve">Special Eurobarometer on Corruption shows that </w:t>
      </w:r>
      <w:r w:rsidRPr="00D007DA">
        <w:rPr>
          <w:rStyle w:val="Bodytext1"/>
          <w:noProof/>
          <w:szCs w:val="24"/>
          <w:lang w:eastAsia="bg-BG" w:bidi="bg-BG"/>
        </w:rPr>
        <w:t xml:space="preserve">48% </w:t>
      </w:r>
      <w:r w:rsidRPr="00D007DA">
        <w:rPr>
          <w:rStyle w:val="Bodytext1"/>
          <w:noProof/>
          <w:szCs w:val="24"/>
        </w:rPr>
        <w:t xml:space="preserve">of respondents consider corruption widespread in their country (EU average </w:t>
      </w:r>
      <w:r w:rsidRPr="00D007DA">
        <w:rPr>
          <w:rStyle w:val="Bodytext1"/>
          <w:noProof/>
          <w:szCs w:val="24"/>
          <w:lang w:eastAsia="bg-BG" w:bidi="bg-BG"/>
        </w:rPr>
        <w:t xml:space="preserve">71%) </w:t>
      </w:r>
      <w:r w:rsidRPr="00D007DA">
        <w:rPr>
          <w:rStyle w:val="Bodytext1"/>
          <w:noProof/>
          <w:szCs w:val="24"/>
        </w:rPr>
        <w:t xml:space="preserve">and </w:t>
      </w:r>
      <w:r w:rsidRPr="00D007DA">
        <w:rPr>
          <w:rStyle w:val="Bodytext1"/>
          <w:noProof/>
          <w:szCs w:val="24"/>
          <w:lang w:eastAsia="bg-BG" w:bidi="bg-BG"/>
        </w:rPr>
        <w:t xml:space="preserve">8% </w:t>
      </w:r>
      <w:r w:rsidRPr="00D007DA">
        <w:rPr>
          <w:rStyle w:val="Bodytext1"/>
          <w:noProof/>
          <w:szCs w:val="24"/>
        </w:rPr>
        <w:t xml:space="preserve">of respondents feel personally affected by corruption in their daily lives (EU average </w:t>
      </w:r>
      <w:r w:rsidRPr="00D007DA">
        <w:rPr>
          <w:rStyle w:val="Bodytext1"/>
          <w:noProof/>
          <w:szCs w:val="24"/>
          <w:lang w:eastAsia="bg-BG" w:bidi="bg-BG"/>
        </w:rPr>
        <w:t xml:space="preserve">30%). </w:t>
      </w:r>
      <w:r w:rsidRPr="00D007DA">
        <w:rPr>
          <w:rStyle w:val="Bodytext1"/>
          <w:noProof/>
          <w:szCs w:val="24"/>
        </w:rPr>
        <w:t xml:space="preserve">As regards businesses, </w:t>
      </w:r>
      <w:r w:rsidRPr="00D007DA">
        <w:rPr>
          <w:rStyle w:val="Bodytext1"/>
          <w:noProof/>
          <w:szCs w:val="24"/>
          <w:lang w:eastAsia="bg-BG" w:bidi="bg-BG"/>
        </w:rPr>
        <w:t xml:space="preserve">38% </w:t>
      </w:r>
      <w:r w:rsidRPr="00D007DA">
        <w:rPr>
          <w:rStyle w:val="Bodytext1"/>
          <w:noProof/>
          <w:szCs w:val="24"/>
        </w:rPr>
        <w:t xml:space="preserve">of companies consider that corruption is widespread (EU average </w:t>
      </w:r>
      <w:r w:rsidRPr="00D007DA">
        <w:rPr>
          <w:rStyle w:val="Bodytext1"/>
          <w:noProof/>
          <w:szCs w:val="24"/>
          <w:lang w:eastAsia="bg-BG" w:bidi="bg-BG"/>
        </w:rPr>
        <w:t xml:space="preserve">65%) </w:t>
      </w:r>
      <w:r w:rsidRPr="00D007DA">
        <w:rPr>
          <w:rStyle w:val="Bodytext1"/>
          <w:noProof/>
          <w:szCs w:val="24"/>
        </w:rPr>
        <w:t xml:space="preserve">and </w:t>
      </w:r>
      <w:r w:rsidRPr="00D007DA">
        <w:rPr>
          <w:rStyle w:val="Bodytext1"/>
          <w:noProof/>
          <w:szCs w:val="24"/>
          <w:lang w:eastAsia="bg-BG" w:bidi="bg-BG"/>
        </w:rPr>
        <w:t xml:space="preserve">30% </w:t>
      </w:r>
      <w:r w:rsidRPr="00D007DA">
        <w:rPr>
          <w:rStyle w:val="Bodytext1"/>
          <w:noProof/>
          <w:szCs w:val="24"/>
        </w:rPr>
        <w:t xml:space="preserve">consider that corruption is a problem when doing business (EU average </w:t>
      </w:r>
      <w:r w:rsidRPr="00D007DA">
        <w:rPr>
          <w:rStyle w:val="Bodytext1"/>
          <w:noProof/>
          <w:szCs w:val="24"/>
          <w:lang w:eastAsia="bg-BG" w:bidi="bg-BG"/>
        </w:rPr>
        <w:t xml:space="preserve">37%). </w:t>
      </w:r>
      <w:r w:rsidRPr="00D007DA">
        <w:rPr>
          <w:rStyle w:val="Bodytext1"/>
          <w:noProof/>
          <w:szCs w:val="24"/>
        </w:rPr>
        <w:t xml:space="preserve">Furthermore, </w:t>
      </w:r>
      <w:r w:rsidRPr="00D007DA">
        <w:rPr>
          <w:rStyle w:val="Bodytext1"/>
          <w:noProof/>
          <w:szCs w:val="24"/>
          <w:lang w:eastAsia="bg-BG" w:bidi="bg-BG"/>
        </w:rPr>
        <w:t xml:space="preserve">40% </w:t>
      </w:r>
      <w:r w:rsidRPr="00D007DA">
        <w:rPr>
          <w:rStyle w:val="Bodytext1"/>
          <w:noProof/>
          <w:szCs w:val="24"/>
        </w:rPr>
        <w:t xml:space="preserve">of respondents find that there are enough successful prosecutions to deter people from corrupt practices (EU average </w:t>
      </w:r>
      <w:r w:rsidRPr="00D007DA">
        <w:rPr>
          <w:rStyle w:val="Bodytext1"/>
          <w:noProof/>
          <w:szCs w:val="24"/>
          <w:lang w:eastAsia="bg-BG" w:bidi="bg-BG"/>
        </w:rPr>
        <w:t xml:space="preserve">38%), </w:t>
      </w:r>
      <w:r w:rsidRPr="00D007DA">
        <w:rPr>
          <w:rStyle w:val="Bodytext1"/>
          <w:noProof/>
          <w:szCs w:val="24"/>
        </w:rPr>
        <w:t xml:space="preserve">while </w:t>
      </w:r>
      <w:r w:rsidRPr="00D007DA">
        <w:rPr>
          <w:rStyle w:val="Bodytext1"/>
          <w:noProof/>
          <w:szCs w:val="24"/>
          <w:lang w:eastAsia="bg-BG" w:bidi="bg-BG"/>
        </w:rPr>
        <w:t xml:space="preserve">46% </w:t>
      </w:r>
      <w:r w:rsidRPr="00D007DA">
        <w:rPr>
          <w:rStyle w:val="Bodytext1"/>
          <w:noProof/>
          <w:szCs w:val="24"/>
        </w:rPr>
        <w:t xml:space="preserve">of companies believe that people and businesses caught for bribing a senior official are appropriately punished (EU average </w:t>
      </w:r>
      <w:r w:rsidRPr="00D007DA">
        <w:rPr>
          <w:rStyle w:val="Bodytext1"/>
          <w:noProof/>
          <w:szCs w:val="24"/>
          <w:lang w:eastAsia="bg-BG" w:bidi="bg-BG"/>
        </w:rPr>
        <w:t>31%)</w:t>
      </w:r>
      <w:r w:rsidRPr="543BFD55">
        <w:rPr>
          <w:rStyle w:val="Bodytext1"/>
          <w:noProof/>
          <w:szCs w:val="24"/>
          <w:vertAlign w:val="superscript"/>
          <w:lang w:eastAsia="bg-BG" w:bidi="bg-BG"/>
        </w:rPr>
        <w:footnoteReference w:id="42"/>
      </w:r>
      <w:r w:rsidRPr="00D007DA">
        <w:rPr>
          <w:rStyle w:val="Bodytext1"/>
          <w:noProof/>
          <w:szCs w:val="24"/>
          <w:lang w:eastAsia="bg-BG" w:bidi="bg-BG"/>
        </w:rPr>
        <w:t>.</w:t>
      </w:r>
    </w:p>
    <w:p w14:paraId="42B2EE67" w14:textId="2B8AE4B6" w:rsidR="00E53886" w:rsidRPr="00973061" w:rsidRDefault="00E53886" w:rsidP="00E53886">
      <w:pPr>
        <w:pStyle w:val="Bodytext10"/>
        <w:jc w:val="both"/>
        <w:rPr>
          <w:noProof/>
          <w:szCs w:val="24"/>
        </w:rPr>
      </w:pPr>
      <w:r w:rsidRPr="00973061">
        <w:rPr>
          <w:rStyle w:val="Bodytext1"/>
          <w:b/>
          <w:bCs/>
          <w:noProof/>
          <w:szCs w:val="24"/>
        </w:rPr>
        <w:t xml:space="preserve">A national evaluation of corruption risks and the existing anti-corruption </w:t>
      </w:r>
      <w:r>
        <w:rPr>
          <w:rStyle w:val="Bodytext1"/>
          <w:b/>
          <w:bCs/>
          <w:noProof/>
          <w:szCs w:val="24"/>
        </w:rPr>
        <w:t xml:space="preserve">framework </w:t>
      </w:r>
      <w:r w:rsidRPr="00973061">
        <w:rPr>
          <w:rStyle w:val="Bodytext1"/>
          <w:b/>
          <w:bCs/>
          <w:noProof/>
          <w:szCs w:val="24"/>
        </w:rPr>
        <w:t xml:space="preserve">was launched </w:t>
      </w:r>
      <w:r>
        <w:rPr>
          <w:rStyle w:val="Bodytext1"/>
          <w:b/>
          <w:bCs/>
          <w:noProof/>
          <w:szCs w:val="24"/>
        </w:rPr>
        <w:t>to support the development of</w:t>
      </w:r>
      <w:r w:rsidRPr="00973061">
        <w:rPr>
          <w:rStyle w:val="Bodytext1"/>
          <w:b/>
          <w:bCs/>
          <w:noProof/>
          <w:szCs w:val="24"/>
        </w:rPr>
        <w:t xml:space="preserve"> a national anti-corruption strategy</w:t>
      </w:r>
      <w:r w:rsidRPr="00973061">
        <w:rPr>
          <w:rStyle w:val="FootnoteReference"/>
          <w:b/>
          <w:bCs/>
          <w:noProof/>
          <w:szCs w:val="24"/>
        </w:rPr>
        <w:footnoteReference w:id="43"/>
      </w:r>
      <w:r w:rsidRPr="00973061">
        <w:rPr>
          <w:rStyle w:val="Bodytext1"/>
          <w:b/>
          <w:bCs/>
          <w:noProof/>
          <w:szCs w:val="24"/>
        </w:rPr>
        <w:t xml:space="preserve">. </w:t>
      </w:r>
      <w:r>
        <w:rPr>
          <w:rStyle w:val="Bodytext1"/>
          <w:noProof/>
          <w:szCs w:val="24"/>
        </w:rPr>
        <w:t>Launched in January 2026, t</w:t>
      </w:r>
      <w:r w:rsidRPr="00973061">
        <w:rPr>
          <w:rStyle w:val="Bodytext1"/>
          <w:noProof/>
          <w:szCs w:val="24"/>
        </w:rPr>
        <w:t>his comprehensive evaluation will cover both national and transnational risks</w:t>
      </w:r>
      <w:r>
        <w:rPr>
          <w:rStyle w:val="Bodytext1"/>
          <w:noProof/>
          <w:szCs w:val="24"/>
        </w:rPr>
        <w:t>, as well as the anti-corruption framework in place in the private and public sector</w:t>
      </w:r>
      <w:r w:rsidRPr="00973061">
        <w:rPr>
          <w:rStyle w:val="Bodytext1"/>
          <w:noProof/>
          <w:szCs w:val="24"/>
        </w:rPr>
        <w:t xml:space="preserve">. It also aims at identifying the sectors at high risks of corruption. The </w:t>
      </w:r>
      <w:r>
        <w:rPr>
          <w:rStyle w:val="Bodytext1"/>
          <w:noProof/>
          <w:szCs w:val="24"/>
        </w:rPr>
        <w:t>authorities are currently</w:t>
      </w:r>
      <w:r w:rsidRPr="00973061">
        <w:rPr>
          <w:rStyle w:val="Bodytext1"/>
          <w:noProof/>
          <w:szCs w:val="24"/>
        </w:rPr>
        <w:t xml:space="preserve"> collecting information from relevant public and private actors on </w:t>
      </w:r>
      <w:r>
        <w:rPr>
          <w:rStyle w:val="Bodytext1"/>
          <w:noProof/>
          <w:szCs w:val="24"/>
        </w:rPr>
        <w:t>existing</w:t>
      </w:r>
      <w:r w:rsidRPr="00973061">
        <w:rPr>
          <w:rStyle w:val="Bodytext1"/>
          <w:noProof/>
          <w:szCs w:val="24"/>
        </w:rPr>
        <w:t xml:space="preserve"> anti-corruption measures</w:t>
      </w:r>
      <w:r>
        <w:rPr>
          <w:rStyle w:val="Bodytext1"/>
          <w:noProof/>
          <w:szCs w:val="24"/>
        </w:rPr>
        <w:t>,</w:t>
      </w:r>
      <w:r w:rsidRPr="00973061">
        <w:rPr>
          <w:rStyle w:val="Bodytext1"/>
          <w:noProof/>
          <w:szCs w:val="24"/>
        </w:rPr>
        <w:t xml:space="preserve"> </w:t>
      </w:r>
      <w:r>
        <w:rPr>
          <w:rStyle w:val="Bodytext1"/>
          <w:noProof/>
          <w:szCs w:val="24"/>
        </w:rPr>
        <w:t>as well as</w:t>
      </w:r>
      <w:r w:rsidRPr="00973061">
        <w:rPr>
          <w:rStyle w:val="Bodytext1"/>
          <w:noProof/>
          <w:szCs w:val="24"/>
        </w:rPr>
        <w:t xml:space="preserve"> gathe</w:t>
      </w:r>
      <w:r>
        <w:rPr>
          <w:rStyle w:val="Bodytext1"/>
          <w:noProof/>
          <w:szCs w:val="24"/>
        </w:rPr>
        <w:t>ring</w:t>
      </w:r>
      <w:r w:rsidRPr="00973061">
        <w:rPr>
          <w:rStyle w:val="Bodytext1"/>
          <w:noProof/>
          <w:szCs w:val="24"/>
        </w:rPr>
        <w:t xml:space="preserve"> </w:t>
      </w:r>
      <w:r>
        <w:rPr>
          <w:rStyle w:val="Bodytext1"/>
          <w:noProof/>
          <w:szCs w:val="24"/>
        </w:rPr>
        <w:t>information on</w:t>
      </w:r>
      <w:r w:rsidRPr="00973061">
        <w:rPr>
          <w:rStyle w:val="Bodytext1"/>
          <w:noProof/>
          <w:szCs w:val="24"/>
        </w:rPr>
        <w:t xml:space="preserve"> stakeholders' needs and possible recommendations. The evaluation </w:t>
      </w:r>
      <w:r>
        <w:rPr>
          <w:rStyle w:val="Bodytext1"/>
          <w:noProof/>
          <w:szCs w:val="24"/>
        </w:rPr>
        <w:t>is intended to</w:t>
      </w:r>
      <w:r w:rsidRPr="00973061">
        <w:rPr>
          <w:rStyle w:val="Bodytext1"/>
          <w:noProof/>
          <w:szCs w:val="24"/>
        </w:rPr>
        <w:t xml:space="preserve"> serve as a basis for the </w:t>
      </w:r>
      <w:r>
        <w:rPr>
          <w:rStyle w:val="Bodytext1"/>
          <w:noProof/>
          <w:szCs w:val="24"/>
        </w:rPr>
        <w:t>preparation</w:t>
      </w:r>
      <w:r w:rsidRPr="00973061">
        <w:rPr>
          <w:rStyle w:val="Bodytext1"/>
          <w:noProof/>
          <w:szCs w:val="24"/>
        </w:rPr>
        <w:t xml:space="preserve"> of a national anti-corruption strategy</w:t>
      </w:r>
      <w:r w:rsidRPr="00973061">
        <w:rPr>
          <w:rStyle w:val="FootnoteReference"/>
          <w:noProof/>
          <w:szCs w:val="24"/>
        </w:rPr>
        <w:footnoteReference w:id="44"/>
      </w:r>
      <w:r w:rsidRPr="00973061">
        <w:rPr>
          <w:rStyle w:val="Bodytext1"/>
          <w:noProof/>
          <w:szCs w:val="24"/>
        </w:rPr>
        <w:t>. In addition, the Government has been working on the implementation o</w:t>
      </w:r>
      <w:r w:rsidRPr="00F27B93">
        <w:rPr>
          <w:rStyle w:val="Bodytext1"/>
          <w:noProof/>
          <w:szCs w:val="24"/>
        </w:rPr>
        <w:t xml:space="preserve">f the </w:t>
      </w:r>
      <w:r w:rsidR="0002377F" w:rsidRPr="00781042">
        <w:rPr>
          <w:noProof/>
          <w:szCs w:val="24"/>
          <w:lang w:val="en-US"/>
        </w:rPr>
        <w:t>recommendations which Luxembourg has received in the framework of its Phase 4 evaluation by the OECD’s Working Group on Bribery</w:t>
      </w:r>
      <w:r w:rsidR="007C2E89" w:rsidRPr="00781042">
        <w:rPr>
          <w:rStyle w:val="FootnoteReference"/>
          <w:noProof/>
          <w:szCs w:val="24"/>
          <w:lang w:val="en-US"/>
        </w:rPr>
        <w:footnoteReference w:id="45"/>
      </w:r>
      <w:r>
        <w:rPr>
          <w:rStyle w:val="Bodytext1"/>
          <w:noProof/>
          <w:szCs w:val="24"/>
        </w:rPr>
        <w:t>,</w:t>
      </w:r>
      <w:r w:rsidRPr="00973061">
        <w:rPr>
          <w:rStyle w:val="Bodytext1"/>
          <w:noProof/>
          <w:szCs w:val="24"/>
        </w:rPr>
        <w:t xml:space="preserve"> for which the </w:t>
      </w:r>
      <w:r w:rsidR="00E323B8">
        <w:rPr>
          <w:rStyle w:val="Bodytext1"/>
          <w:noProof/>
          <w:szCs w:val="24"/>
        </w:rPr>
        <w:t xml:space="preserve">publication of </w:t>
      </w:r>
      <w:r w:rsidRPr="00973061">
        <w:rPr>
          <w:rStyle w:val="Bodytext1"/>
          <w:noProof/>
          <w:szCs w:val="24"/>
        </w:rPr>
        <w:t xml:space="preserve">two-year follow-up report is expected </w:t>
      </w:r>
      <w:r w:rsidR="00C00B0C">
        <w:rPr>
          <w:rStyle w:val="Bodytext1"/>
          <w:noProof/>
          <w:szCs w:val="24"/>
        </w:rPr>
        <w:t>in July</w:t>
      </w:r>
      <w:r w:rsidRPr="00973061">
        <w:rPr>
          <w:rStyle w:val="Bodytext1"/>
          <w:noProof/>
          <w:szCs w:val="24"/>
        </w:rPr>
        <w:t xml:space="preserve"> 2026</w:t>
      </w:r>
      <w:r w:rsidRPr="00973061">
        <w:rPr>
          <w:rStyle w:val="FootnoteReference"/>
          <w:noProof/>
          <w:szCs w:val="24"/>
        </w:rPr>
        <w:footnoteReference w:id="46"/>
      </w:r>
      <w:r w:rsidRPr="00973061">
        <w:rPr>
          <w:rStyle w:val="Bodytext1"/>
          <w:noProof/>
          <w:szCs w:val="24"/>
        </w:rPr>
        <w:t>.</w:t>
      </w:r>
    </w:p>
    <w:p w14:paraId="6570AC73" w14:textId="77777777" w:rsidR="00E53886" w:rsidRPr="00973061" w:rsidRDefault="00E53886" w:rsidP="00E53886">
      <w:pPr>
        <w:pStyle w:val="Bodytext10"/>
        <w:tabs>
          <w:tab w:val="left" w:pos="1536"/>
        </w:tabs>
        <w:spacing w:after="0"/>
        <w:jc w:val="both"/>
        <w:rPr>
          <w:rStyle w:val="Bodytext1"/>
          <w:noProof/>
          <w:szCs w:val="24"/>
        </w:rPr>
      </w:pPr>
      <w:r w:rsidRPr="00973061">
        <w:rPr>
          <w:rStyle w:val="Bodytext1"/>
          <w:b/>
          <w:bCs/>
          <w:noProof/>
          <w:szCs w:val="24"/>
        </w:rPr>
        <w:t>The number of convictions</w:t>
      </w:r>
      <w:r w:rsidRPr="00973061">
        <w:rPr>
          <w:rStyle w:val="Bodytext1"/>
          <w:b/>
          <w:bCs/>
          <w:noProof/>
        </w:rPr>
        <w:t xml:space="preserve"> </w:t>
      </w:r>
      <w:r w:rsidRPr="00973061">
        <w:rPr>
          <w:rStyle w:val="Bodytext1"/>
          <w:b/>
          <w:bCs/>
          <w:noProof/>
          <w:szCs w:val="24"/>
        </w:rPr>
        <w:t xml:space="preserve">in corruption cases slightly increased while the number of reported cases remain relatively stable compared to last year. </w:t>
      </w:r>
      <w:r w:rsidRPr="00973061">
        <w:rPr>
          <w:rStyle w:val="Bodytext1"/>
          <w:noProof/>
          <w:szCs w:val="24"/>
        </w:rPr>
        <w:t>The number of registered corruption cases increased slightly in 2025 while remaining significantly below the number of cases registered between 2020-2023</w:t>
      </w:r>
      <w:r w:rsidRPr="00973061">
        <w:rPr>
          <w:rStyle w:val="FootnoteReference"/>
          <w:noProof/>
          <w:szCs w:val="24"/>
        </w:rPr>
        <w:footnoteReference w:id="47"/>
      </w:r>
      <w:r w:rsidRPr="00973061">
        <w:rPr>
          <w:rStyle w:val="Bodytext1"/>
          <w:noProof/>
          <w:szCs w:val="24"/>
          <w:lang w:eastAsia="bg-BG" w:bidi="bg-BG"/>
        </w:rPr>
        <w:t>. The number of final convictions increased and reached its highest level since 2020</w:t>
      </w:r>
      <w:r w:rsidRPr="00973061">
        <w:rPr>
          <w:rStyle w:val="FootnoteReference"/>
          <w:noProof/>
          <w:szCs w:val="24"/>
          <w:lang w:eastAsia="bg-BG" w:bidi="bg-BG"/>
        </w:rPr>
        <w:footnoteReference w:id="48"/>
      </w:r>
      <w:r w:rsidRPr="00973061">
        <w:rPr>
          <w:rStyle w:val="Bodytext1"/>
          <w:noProof/>
          <w:szCs w:val="24"/>
          <w:lang w:eastAsia="bg-BG" w:bidi="bg-BG"/>
        </w:rPr>
        <w:t xml:space="preserve">. </w:t>
      </w:r>
      <w:r w:rsidRPr="00973061">
        <w:rPr>
          <w:rStyle w:val="Bodytext1"/>
          <w:noProof/>
          <w:szCs w:val="24"/>
        </w:rPr>
        <w:t>The Law of 12 December 2025 amending certain provisions of the Criminal Code and the Code of Criminal Procedure</w:t>
      </w:r>
      <w:r w:rsidRPr="00973061">
        <w:rPr>
          <w:rStyle w:val="FootnoteReference"/>
          <w:noProof/>
          <w:szCs w:val="24"/>
        </w:rPr>
        <w:footnoteReference w:id="49"/>
      </w:r>
      <w:r w:rsidRPr="00973061">
        <w:rPr>
          <w:rStyle w:val="Bodytext1"/>
          <w:noProof/>
          <w:szCs w:val="24"/>
        </w:rPr>
        <w:t xml:space="preserve"> introduced the possibility for the State Prosecutor to ask the investigative judge to order several coercive measures, without the requirement to open a judicial investigation, including in cases of alleged corruption. This amendment </w:t>
      </w:r>
      <w:r>
        <w:rPr>
          <w:rStyle w:val="Bodytext1"/>
          <w:noProof/>
          <w:szCs w:val="24"/>
        </w:rPr>
        <w:t>is expected to</w:t>
      </w:r>
      <w:r w:rsidRPr="00973061">
        <w:rPr>
          <w:rStyle w:val="Bodytext1"/>
          <w:noProof/>
          <w:szCs w:val="24"/>
        </w:rPr>
        <w:t xml:space="preserve"> speed up the investigations and </w:t>
      </w:r>
      <w:r>
        <w:rPr>
          <w:rStyle w:val="Bodytext1"/>
          <w:noProof/>
          <w:szCs w:val="24"/>
        </w:rPr>
        <w:t>provide</w:t>
      </w:r>
      <w:r w:rsidRPr="00973061">
        <w:rPr>
          <w:rStyle w:val="Bodytext1"/>
          <w:noProof/>
          <w:szCs w:val="24"/>
        </w:rPr>
        <w:t xml:space="preserve"> the possibility to allocate available resources to the most serious and complex cases. The Police continued including </w:t>
      </w:r>
      <w:r>
        <w:rPr>
          <w:rStyle w:val="Bodytext1"/>
          <w:noProof/>
          <w:szCs w:val="24"/>
        </w:rPr>
        <w:t>e</w:t>
      </w:r>
      <w:r w:rsidRPr="00973061">
        <w:rPr>
          <w:rStyle w:val="Bodytext1"/>
          <w:noProof/>
          <w:szCs w:val="24"/>
        </w:rPr>
        <w:t>thics matters in the initial training for police officers. As last year, it reported no breach of the transparency and integrity charter</w:t>
      </w:r>
      <w:r w:rsidRPr="00973061">
        <w:rPr>
          <w:rStyle w:val="Bodytext1"/>
          <w:noProof/>
          <w:szCs w:val="24"/>
          <w:vertAlign w:val="superscript"/>
        </w:rPr>
        <w:footnoteReference w:id="50"/>
      </w:r>
      <w:r w:rsidRPr="00973061">
        <w:rPr>
          <w:rStyle w:val="Bodytext1"/>
          <w:noProof/>
          <w:szCs w:val="24"/>
        </w:rPr>
        <w:t xml:space="preserve">. </w:t>
      </w:r>
    </w:p>
    <w:p w14:paraId="2E94991C" w14:textId="77777777" w:rsidR="00E53886" w:rsidRPr="00973061" w:rsidRDefault="00E53886" w:rsidP="00E53886">
      <w:pPr>
        <w:pStyle w:val="Bodytext10"/>
        <w:spacing w:before="240"/>
        <w:jc w:val="both"/>
        <w:rPr>
          <w:noProof/>
          <w:szCs w:val="24"/>
        </w:rPr>
      </w:pPr>
      <w:r>
        <w:rPr>
          <w:rStyle w:val="Bodytext1"/>
          <w:b/>
          <w:bCs/>
          <w:noProof/>
          <w:szCs w:val="24"/>
        </w:rPr>
        <w:t>H</w:t>
      </w:r>
      <w:r w:rsidRPr="00973061">
        <w:rPr>
          <w:rStyle w:val="Bodytext1"/>
          <w:b/>
          <w:bCs/>
          <w:noProof/>
          <w:szCs w:val="24"/>
        </w:rPr>
        <w:t>uman resources in services working on anti-corruption</w:t>
      </w:r>
      <w:r>
        <w:rPr>
          <w:rStyle w:val="Bodytext1"/>
          <w:b/>
          <w:bCs/>
          <w:noProof/>
          <w:szCs w:val="24"/>
        </w:rPr>
        <w:t xml:space="preserve"> have</w:t>
      </w:r>
      <w:r w:rsidRPr="00F92060">
        <w:rPr>
          <w:rStyle w:val="Bodytext1"/>
          <w:b/>
          <w:bCs/>
          <w:noProof/>
          <w:szCs w:val="24"/>
        </w:rPr>
        <w:t xml:space="preserve"> </w:t>
      </w:r>
      <w:r w:rsidRPr="00973061">
        <w:rPr>
          <w:rStyle w:val="Bodytext1"/>
          <w:b/>
          <w:bCs/>
          <w:noProof/>
          <w:szCs w:val="24"/>
        </w:rPr>
        <w:t>increased significantly</w:t>
      </w:r>
      <w:r w:rsidRPr="00973061">
        <w:rPr>
          <w:rStyle w:val="FootnoteReference"/>
          <w:noProof/>
          <w:szCs w:val="24"/>
        </w:rPr>
        <w:footnoteReference w:id="51"/>
      </w:r>
      <w:r w:rsidRPr="00973061">
        <w:rPr>
          <w:rStyle w:val="Bodytext1"/>
          <w:b/>
          <w:bCs/>
          <w:noProof/>
          <w:szCs w:val="24"/>
        </w:rPr>
        <w:t xml:space="preserve">. </w:t>
      </w:r>
      <w:r>
        <w:rPr>
          <w:rStyle w:val="Bodytext1"/>
          <w:noProof/>
          <w:szCs w:val="24"/>
        </w:rPr>
        <w:t>While t</w:t>
      </w:r>
      <w:r w:rsidRPr="00973061">
        <w:rPr>
          <w:rStyle w:val="Bodytext1"/>
          <w:noProof/>
          <w:szCs w:val="24"/>
        </w:rPr>
        <w:t xml:space="preserve">he number of magistrates in the Financial Intelligence Unit remains </w:t>
      </w:r>
      <w:r>
        <w:rPr>
          <w:rStyle w:val="Bodytext1"/>
          <w:noProof/>
          <w:szCs w:val="24"/>
        </w:rPr>
        <w:t xml:space="preserve">unchanged, </w:t>
      </w:r>
      <w:r w:rsidRPr="00973061">
        <w:rPr>
          <w:rStyle w:val="Bodytext1"/>
          <w:noProof/>
          <w:szCs w:val="24"/>
        </w:rPr>
        <w:t>the number of analysts and IT staff increased by around 50%</w:t>
      </w:r>
      <w:r w:rsidRPr="00973061">
        <w:rPr>
          <w:rStyle w:val="FootnoteReference"/>
          <w:noProof/>
          <w:szCs w:val="24"/>
        </w:rPr>
        <w:footnoteReference w:id="52"/>
      </w:r>
      <w:r w:rsidRPr="00973061">
        <w:rPr>
          <w:rStyle w:val="Bodytext1"/>
          <w:noProof/>
          <w:szCs w:val="24"/>
        </w:rPr>
        <w:t xml:space="preserve">. Two investigative judges were recruited at the </w:t>
      </w:r>
      <w:r>
        <w:rPr>
          <w:rStyle w:val="Bodytext1"/>
          <w:noProof/>
          <w:szCs w:val="24"/>
        </w:rPr>
        <w:t>i</w:t>
      </w:r>
      <w:r w:rsidRPr="00973061">
        <w:rPr>
          <w:rStyle w:val="Bodytext1"/>
          <w:noProof/>
          <w:szCs w:val="24"/>
        </w:rPr>
        <w:t>nvestigative office of Luxembourg. Police services dealing with economic and financial crimes were further reinforced in 2025 with four additional officers</w:t>
      </w:r>
      <w:r w:rsidRPr="00973061">
        <w:rPr>
          <w:rStyle w:val="FootnoteReference"/>
          <w:noProof/>
          <w:szCs w:val="24"/>
        </w:rPr>
        <w:footnoteReference w:id="53"/>
      </w:r>
      <w:r w:rsidRPr="00973061">
        <w:rPr>
          <w:rStyle w:val="Bodytext1"/>
          <w:noProof/>
          <w:szCs w:val="24"/>
        </w:rPr>
        <w:t xml:space="preserve">. The section of the Judicial Police dealing with </w:t>
      </w:r>
      <w:r>
        <w:rPr>
          <w:rStyle w:val="Bodytext1"/>
          <w:noProof/>
          <w:szCs w:val="24"/>
        </w:rPr>
        <w:t>i</w:t>
      </w:r>
      <w:r w:rsidRPr="00973061">
        <w:rPr>
          <w:rStyle w:val="Bodytext1"/>
          <w:noProof/>
          <w:szCs w:val="24"/>
        </w:rPr>
        <w:t xml:space="preserve">nternational </w:t>
      </w:r>
      <w:r>
        <w:rPr>
          <w:rStyle w:val="Bodytext1"/>
          <w:noProof/>
          <w:szCs w:val="24"/>
        </w:rPr>
        <w:t>m</w:t>
      </w:r>
      <w:r w:rsidRPr="00973061">
        <w:rPr>
          <w:rStyle w:val="Bodytext1"/>
          <w:noProof/>
          <w:szCs w:val="24"/>
        </w:rPr>
        <w:t xml:space="preserve">utual </w:t>
      </w:r>
      <w:r>
        <w:rPr>
          <w:rStyle w:val="Bodytext1"/>
          <w:noProof/>
          <w:szCs w:val="24"/>
        </w:rPr>
        <w:t>l</w:t>
      </w:r>
      <w:r w:rsidRPr="00973061">
        <w:rPr>
          <w:rStyle w:val="Bodytext1"/>
          <w:noProof/>
          <w:szCs w:val="24"/>
        </w:rPr>
        <w:t xml:space="preserve">egal </w:t>
      </w:r>
      <w:r>
        <w:rPr>
          <w:rStyle w:val="Bodytext1"/>
          <w:noProof/>
          <w:szCs w:val="24"/>
        </w:rPr>
        <w:t>a</w:t>
      </w:r>
      <w:r w:rsidRPr="00973061">
        <w:rPr>
          <w:rStyle w:val="Bodytext1"/>
          <w:noProof/>
          <w:szCs w:val="24"/>
        </w:rPr>
        <w:t>ssistance was also strengthened with two additional positions, bringing the total to 17 persons</w:t>
      </w:r>
      <w:r w:rsidRPr="00973061">
        <w:rPr>
          <w:rStyle w:val="FootnoteReference"/>
          <w:noProof/>
          <w:szCs w:val="24"/>
        </w:rPr>
        <w:footnoteReference w:id="54"/>
      </w:r>
      <w:r w:rsidRPr="00973061">
        <w:rPr>
          <w:rStyle w:val="Bodytext1"/>
          <w:noProof/>
          <w:szCs w:val="24"/>
        </w:rPr>
        <w:t xml:space="preserve">. Some difficulties </w:t>
      </w:r>
      <w:r>
        <w:rPr>
          <w:rStyle w:val="Bodytext1"/>
          <w:noProof/>
          <w:szCs w:val="24"/>
        </w:rPr>
        <w:t xml:space="preserve">in </w:t>
      </w:r>
      <w:r w:rsidRPr="00973061">
        <w:rPr>
          <w:rStyle w:val="Bodytext1"/>
          <w:noProof/>
          <w:szCs w:val="24"/>
        </w:rPr>
        <w:t>attrac</w:t>
      </w:r>
      <w:r>
        <w:rPr>
          <w:rStyle w:val="Bodytext1"/>
          <w:noProof/>
          <w:szCs w:val="24"/>
        </w:rPr>
        <w:t>ting</w:t>
      </w:r>
      <w:r w:rsidRPr="00973061">
        <w:rPr>
          <w:rStyle w:val="Bodytext1"/>
          <w:noProof/>
          <w:szCs w:val="24"/>
        </w:rPr>
        <w:t xml:space="preserve"> and recruit</w:t>
      </w:r>
      <w:r>
        <w:rPr>
          <w:rStyle w:val="Bodytext1"/>
          <w:noProof/>
          <w:szCs w:val="24"/>
        </w:rPr>
        <w:t>ing</w:t>
      </w:r>
      <w:r w:rsidRPr="00973061">
        <w:rPr>
          <w:rStyle w:val="Bodytext1"/>
          <w:noProof/>
          <w:szCs w:val="24"/>
        </w:rPr>
        <w:t xml:space="preserve"> good candidates continue to be reported by prosecution services</w:t>
      </w:r>
      <w:r w:rsidRPr="00973061">
        <w:rPr>
          <w:rStyle w:val="Bodytext1"/>
          <w:noProof/>
          <w:szCs w:val="24"/>
          <w:vertAlign w:val="superscript"/>
        </w:rPr>
        <w:footnoteReference w:id="55"/>
      </w:r>
      <w:r w:rsidRPr="00973061">
        <w:rPr>
          <w:rStyle w:val="Bodytext1"/>
          <w:noProof/>
          <w:szCs w:val="24"/>
        </w:rPr>
        <w:t xml:space="preserve">. An EPPO section has been created within the </w:t>
      </w:r>
      <w:r>
        <w:rPr>
          <w:rStyle w:val="Bodytext1"/>
          <w:noProof/>
          <w:szCs w:val="24"/>
        </w:rPr>
        <w:t>p</w:t>
      </w:r>
      <w:r w:rsidRPr="00973061">
        <w:rPr>
          <w:rStyle w:val="Bodytext1"/>
          <w:noProof/>
          <w:szCs w:val="24"/>
        </w:rPr>
        <w:t>olice</w:t>
      </w:r>
      <w:r w:rsidRPr="00973061">
        <w:rPr>
          <w:rStyle w:val="FootnoteReference"/>
          <w:noProof/>
          <w:szCs w:val="24"/>
        </w:rPr>
        <w:footnoteReference w:id="56"/>
      </w:r>
      <w:r>
        <w:rPr>
          <w:rStyle w:val="Bodytext1"/>
          <w:noProof/>
          <w:szCs w:val="24"/>
        </w:rPr>
        <w:t>,</w:t>
      </w:r>
      <w:r w:rsidRPr="00973061">
        <w:rPr>
          <w:rStyle w:val="Bodytext1"/>
          <w:noProof/>
          <w:szCs w:val="24"/>
        </w:rPr>
        <w:t xml:space="preserve"> composed of a head of section and three officers</w:t>
      </w:r>
      <w:r w:rsidRPr="00973061">
        <w:rPr>
          <w:rStyle w:val="FootnoteReference"/>
          <w:noProof/>
          <w:szCs w:val="24"/>
        </w:rPr>
        <w:footnoteReference w:id="57"/>
      </w:r>
      <w:r w:rsidRPr="00973061">
        <w:rPr>
          <w:rStyle w:val="Bodytext1"/>
          <w:noProof/>
          <w:szCs w:val="24"/>
        </w:rPr>
        <w:t xml:space="preserve"> working exclusively on EPPO cases</w:t>
      </w:r>
      <w:r w:rsidRPr="00973061">
        <w:rPr>
          <w:rStyle w:val="FootnoteReference"/>
          <w:noProof/>
          <w:szCs w:val="24"/>
        </w:rPr>
        <w:footnoteReference w:id="58"/>
      </w:r>
      <w:r w:rsidRPr="00973061">
        <w:rPr>
          <w:rStyle w:val="Bodytext1"/>
          <w:noProof/>
          <w:szCs w:val="24"/>
        </w:rPr>
        <w:t xml:space="preserve">. </w:t>
      </w:r>
    </w:p>
    <w:p w14:paraId="15C29F24" w14:textId="77777777" w:rsidR="00E53886" w:rsidRDefault="00E53886" w:rsidP="00E53886">
      <w:pPr>
        <w:pStyle w:val="Bodytext10"/>
        <w:spacing w:after="240"/>
        <w:jc w:val="both"/>
        <w:rPr>
          <w:rStyle w:val="Bodytext1"/>
          <w:noProof/>
          <w:szCs w:val="24"/>
          <w:lang w:eastAsia="bg-BG" w:bidi="bg-BG"/>
        </w:rPr>
      </w:pPr>
      <w:r w:rsidRPr="00973061">
        <w:rPr>
          <w:rStyle w:val="Bodytext1"/>
          <w:b/>
          <w:bCs/>
          <w:noProof/>
          <w:szCs w:val="24"/>
        </w:rPr>
        <w:t xml:space="preserve">The changes related to the Parliament's transparency register are now fully implemented. </w:t>
      </w:r>
      <w:r w:rsidRPr="00973061">
        <w:rPr>
          <w:rStyle w:val="Bodytext1"/>
          <w:noProof/>
          <w:szCs w:val="24"/>
        </w:rPr>
        <w:t>The amendments to the Rules of Procedures of the Parliament</w:t>
      </w:r>
      <w:r w:rsidRPr="00973061">
        <w:rPr>
          <w:rStyle w:val="FootnoteReference"/>
          <w:noProof/>
          <w:szCs w:val="24"/>
        </w:rPr>
        <w:footnoteReference w:id="59"/>
      </w:r>
      <w:r w:rsidRPr="00973061">
        <w:rPr>
          <w:rStyle w:val="Bodytext1"/>
          <w:noProof/>
          <w:szCs w:val="24"/>
        </w:rPr>
        <w:t xml:space="preserve"> adopted in June 2025 entered into force on 15 September 2025. Since then, the obligation to register a meeting falls on the Member of the Parliament</w:t>
      </w:r>
      <w:r w:rsidRPr="00973061">
        <w:rPr>
          <w:rStyle w:val="FootnoteReference"/>
          <w:noProof/>
          <w:szCs w:val="24"/>
        </w:rPr>
        <w:footnoteReference w:id="60"/>
      </w:r>
      <w:r w:rsidRPr="00973061">
        <w:rPr>
          <w:rStyle w:val="Bodytext1"/>
          <w:noProof/>
          <w:szCs w:val="24"/>
        </w:rPr>
        <w:t xml:space="preserve"> while before, the responsibility was borne by the interest representatives. This change strengthens the accountability of Members of the Parliament</w:t>
      </w:r>
      <w:r w:rsidRPr="00973061">
        <w:rPr>
          <w:rStyle w:val="FootnoteReference"/>
          <w:noProof/>
          <w:szCs w:val="24"/>
        </w:rPr>
        <w:footnoteReference w:id="61"/>
      </w:r>
      <w:r w:rsidRPr="00973061">
        <w:rPr>
          <w:rStyle w:val="Bodytext1"/>
          <w:noProof/>
          <w:szCs w:val="24"/>
        </w:rPr>
        <w:t xml:space="preserve"> who have registered 170 meetings in the first six months of implementation of these new rules</w:t>
      </w:r>
      <w:r w:rsidRPr="00973061">
        <w:rPr>
          <w:rStyle w:val="FootnoteReference"/>
          <w:noProof/>
          <w:szCs w:val="24"/>
        </w:rPr>
        <w:footnoteReference w:id="62"/>
      </w:r>
      <w:r w:rsidRPr="00973061">
        <w:rPr>
          <w:rStyle w:val="Bodytext1"/>
          <w:noProof/>
          <w:szCs w:val="24"/>
        </w:rPr>
        <w:t>. The registry is now similar in scope to the one of the Government. Two implementation challenges have been identified and are being addressed, namely the type of meetings that require a declaration and the level of details requested on the position of the third-party</w:t>
      </w:r>
      <w:r w:rsidRPr="00973061">
        <w:rPr>
          <w:rStyle w:val="FootnoteReference"/>
          <w:noProof/>
          <w:szCs w:val="24"/>
        </w:rPr>
        <w:footnoteReference w:id="63"/>
      </w:r>
      <w:r w:rsidRPr="00973061">
        <w:rPr>
          <w:rStyle w:val="Bodytext1"/>
          <w:noProof/>
          <w:szCs w:val="24"/>
        </w:rPr>
        <w:t>.</w:t>
      </w:r>
      <w:r w:rsidRPr="00973061">
        <w:rPr>
          <w:rStyle w:val="Bodytext1"/>
          <w:noProof/>
          <w:szCs w:val="24"/>
          <w:lang w:eastAsia="bg-BG" w:bidi="bg-BG"/>
        </w:rPr>
        <w:t xml:space="preserve"> Further technical improvements are also expected, in particular to enhance the filtering options of the searches in the register</w:t>
      </w:r>
      <w:r w:rsidRPr="00973061">
        <w:rPr>
          <w:rStyle w:val="FootnoteReference"/>
          <w:noProof/>
          <w:szCs w:val="24"/>
          <w:lang w:eastAsia="bg-BG" w:bidi="bg-BG"/>
        </w:rPr>
        <w:footnoteReference w:id="64"/>
      </w:r>
      <w:r w:rsidRPr="00973061">
        <w:rPr>
          <w:rStyle w:val="Bodytext1"/>
          <w:noProof/>
          <w:szCs w:val="24"/>
          <w:lang w:eastAsia="bg-BG" w:bidi="bg-BG"/>
        </w:rPr>
        <w:t xml:space="preserve">. </w:t>
      </w:r>
    </w:p>
    <w:p w14:paraId="665FE4FE" w14:textId="77777777" w:rsidR="00E53886" w:rsidRPr="00973061" w:rsidRDefault="00E53886" w:rsidP="00E53886">
      <w:pPr>
        <w:pStyle w:val="Bodytext10"/>
        <w:spacing w:after="240"/>
        <w:jc w:val="both"/>
        <w:rPr>
          <w:noProof/>
          <w:szCs w:val="24"/>
        </w:rPr>
      </w:pPr>
      <w:r w:rsidRPr="00933766">
        <w:rPr>
          <w:rStyle w:val="Bodytext1"/>
          <w:b/>
          <w:bCs/>
          <w:noProof/>
          <w:szCs w:val="24"/>
          <w:lang w:eastAsia="bg-BG" w:bidi="bg-BG"/>
        </w:rPr>
        <w:t>New rules have been adopted to strengthen the control over the use of financial resources by the political groups and independent Members at the Parliament.</w:t>
      </w:r>
      <w:r w:rsidRPr="00973061">
        <w:rPr>
          <w:rStyle w:val="Bodytext1"/>
          <w:noProof/>
          <w:szCs w:val="24"/>
          <w:lang w:eastAsia="bg-BG" w:bidi="bg-BG"/>
        </w:rPr>
        <w:t xml:space="preserve"> </w:t>
      </w:r>
      <w:r>
        <w:rPr>
          <w:rStyle w:val="Bodytext1"/>
          <w:noProof/>
          <w:szCs w:val="24"/>
          <w:lang w:eastAsia="bg-BG" w:bidi="bg-BG"/>
        </w:rPr>
        <w:t>T</w:t>
      </w:r>
      <w:r w:rsidRPr="00973061">
        <w:rPr>
          <w:rStyle w:val="Bodytext1"/>
          <w:noProof/>
          <w:szCs w:val="24"/>
          <w:lang w:eastAsia="bg-BG" w:bidi="bg-BG"/>
        </w:rPr>
        <w:t>he Court of Auditors issued in January 2026 a special report</w:t>
      </w:r>
      <w:r w:rsidRPr="00973061">
        <w:rPr>
          <w:rStyle w:val="FootnoteReference"/>
          <w:noProof/>
          <w:szCs w:val="24"/>
          <w:lang w:eastAsia="bg-BG" w:bidi="bg-BG"/>
        </w:rPr>
        <w:footnoteReference w:id="65"/>
      </w:r>
      <w:r w:rsidRPr="00973061">
        <w:rPr>
          <w:rStyle w:val="Bodytext1"/>
          <w:noProof/>
          <w:szCs w:val="24"/>
          <w:lang w:eastAsia="bg-BG" w:bidi="bg-BG"/>
        </w:rPr>
        <w:t xml:space="preserve"> </w:t>
      </w:r>
      <w:r>
        <w:rPr>
          <w:rStyle w:val="Bodytext1"/>
          <w:noProof/>
          <w:szCs w:val="24"/>
          <w:lang w:eastAsia="bg-BG" w:bidi="bg-BG"/>
        </w:rPr>
        <w:t>noting</w:t>
      </w:r>
      <w:r w:rsidRPr="00973061">
        <w:rPr>
          <w:rStyle w:val="Bodytext1"/>
          <w:noProof/>
          <w:szCs w:val="24"/>
          <w:lang w:eastAsia="bg-BG" w:bidi="bg-BG"/>
        </w:rPr>
        <w:t xml:space="preserve"> the lack of a legislative and regulatory framework dedicated to the financing of political groups and independent members</w:t>
      </w:r>
      <w:r>
        <w:rPr>
          <w:rStyle w:val="Bodytext1"/>
          <w:noProof/>
          <w:szCs w:val="24"/>
          <w:lang w:eastAsia="bg-BG" w:bidi="bg-BG"/>
        </w:rPr>
        <w:t>. The report</w:t>
      </w:r>
      <w:r w:rsidRPr="00973061">
        <w:rPr>
          <w:rStyle w:val="Bodytext1"/>
          <w:noProof/>
          <w:szCs w:val="24"/>
          <w:lang w:eastAsia="bg-BG" w:bidi="bg-BG"/>
        </w:rPr>
        <w:t xml:space="preserve"> recommend</w:t>
      </w:r>
      <w:r>
        <w:rPr>
          <w:rStyle w:val="Bodytext1"/>
          <w:noProof/>
          <w:szCs w:val="24"/>
          <w:lang w:eastAsia="bg-BG" w:bidi="bg-BG"/>
        </w:rPr>
        <w:t xml:space="preserve">ed, </w:t>
      </w:r>
      <w:r w:rsidRPr="00973061">
        <w:rPr>
          <w:rStyle w:val="Bodytext1"/>
          <w:noProof/>
          <w:szCs w:val="24"/>
          <w:lang w:eastAsia="bg-BG" w:bidi="bg-BG"/>
        </w:rPr>
        <w:t>in particular</w:t>
      </w:r>
      <w:r>
        <w:rPr>
          <w:rStyle w:val="Bodytext1"/>
          <w:noProof/>
          <w:szCs w:val="24"/>
          <w:lang w:eastAsia="bg-BG" w:bidi="bg-BG"/>
        </w:rPr>
        <w:t>,</w:t>
      </w:r>
      <w:r w:rsidRPr="00973061">
        <w:rPr>
          <w:rStyle w:val="Bodytext1"/>
          <w:noProof/>
          <w:szCs w:val="24"/>
          <w:lang w:eastAsia="bg-BG" w:bidi="bg-BG"/>
        </w:rPr>
        <w:t xml:space="preserve"> </w:t>
      </w:r>
      <w:r>
        <w:rPr>
          <w:rStyle w:val="Bodytext1"/>
          <w:noProof/>
          <w:szCs w:val="24"/>
          <w:lang w:eastAsia="bg-BG" w:bidi="bg-BG"/>
        </w:rPr>
        <w:t>the adoption of such</w:t>
      </w:r>
      <w:r w:rsidRPr="00973061">
        <w:rPr>
          <w:rStyle w:val="Bodytext1"/>
          <w:noProof/>
          <w:szCs w:val="24"/>
          <w:lang w:eastAsia="bg-BG" w:bidi="bg-BG"/>
        </w:rPr>
        <w:t xml:space="preserve"> rules and t</w:t>
      </w:r>
      <w:r>
        <w:rPr>
          <w:rStyle w:val="Bodytext1"/>
          <w:noProof/>
          <w:szCs w:val="24"/>
          <w:lang w:eastAsia="bg-BG" w:bidi="bg-BG"/>
        </w:rPr>
        <w:t>he</w:t>
      </w:r>
      <w:r w:rsidRPr="00973061">
        <w:rPr>
          <w:rStyle w:val="Bodytext1"/>
          <w:noProof/>
          <w:szCs w:val="24"/>
          <w:lang w:eastAsia="bg-BG" w:bidi="bg-BG"/>
        </w:rPr>
        <w:t xml:space="preserve"> clarif</w:t>
      </w:r>
      <w:r>
        <w:rPr>
          <w:rStyle w:val="Bodytext1"/>
          <w:noProof/>
          <w:szCs w:val="24"/>
          <w:lang w:eastAsia="bg-BG" w:bidi="bg-BG"/>
        </w:rPr>
        <w:t>ication of</w:t>
      </w:r>
      <w:r w:rsidRPr="00973061">
        <w:rPr>
          <w:rStyle w:val="Bodytext1"/>
          <w:noProof/>
          <w:szCs w:val="24"/>
          <w:lang w:eastAsia="bg-BG" w:bidi="bg-BG"/>
        </w:rPr>
        <w:t xml:space="preserve"> the legal status of th</w:t>
      </w:r>
      <w:r>
        <w:rPr>
          <w:rStyle w:val="Bodytext1"/>
          <w:noProof/>
          <w:szCs w:val="24"/>
          <w:lang w:eastAsia="bg-BG" w:bidi="bg-BG"/>
        </w:rPr>
        <w:t>e</w:t>
      </w:r>
      <w:r w:rsidRPr="00973061">
        <w:rPr>
          <w:rStyle w:val="Bodytext1"/>
          <w:noProof/>
          <w:szCs w:val="24"/>
          <w:lang w:eastAsia="bg-BG" w:bidi="bg-BG"/>
        </w:rPr>
        <w:t xml:space="preserve">se groups. An amendment to the Internal Rules of Procedure of the Parliament, </w:t>
      </w:r>
      <w:r>
        <w:rPr>
          <w:rStyle w:val="Bodytext1"/>
          <w:noProof/>
          <w:szCs w:val="24"/>
          <w:lang w:eastAsia="bg-BG" w:bidi="bg-BG"/>
        </w:rPr>
        <w:t xml:space="preserve">in force since </w:t>
      </w:r>
      <w:r w:rsidRPr="00973061">
        <w:rPr>
          <w:rStyle w:val="Bodytext1"/>
          <w:noProof/>
          <w:szCs w:val="24"/>
          <w:lang w:eastAsia="bg-BG" w:bidi="bg-BG"/>
        </w:rPr>
        <w:t>9 January 2026</w:t>
      </w:r>
      <w:r>
        <w:rPr>
          <w:rStyle w:val="Bodytext1"/>
          <w:noProof/>
          <w:szCs w:val="24"/>
          <w:lang w:eastAsia="bg-BG" w:bidi="bg-BG"/>
        </w:rPr>
        <w:t>,</w:t>
      </w:r>
      <w:r w:rsidRPr="00973061">
        <w:rPr>
          <w:rStyle w:val="Bodytext1"/>
          <w:noProof/>
          <w:szCs w:val="24"/>
          <w:lang w:eastAsia="bg-BG" w:bidi="bg-BG"/>
        </w:rPr>
        <w:t xml:space="preserve"> addresses this issue</w:t>
      </w:r>
      <w:r>
        <w:rPr>
          <w:rStyle w:val="Bodytext1"/>
          <w:noProof/>
          <w:szCs w:val="24"/>
          <w:lang w:eastAsia="bg-BG" w:bidi="bg-BG"/>
        </w:rPr>
        <w:t xml:space="preserve"> by </w:t>
      </w:r>
      <w:r w:rsidRPr="00973061">
        <w:rPr>
          <w:rStyle w:val="Bodytext1"/>
          <w:noProof/>
          <w:szCs w:val="24"/>
          <w:lang w:eastAsia="bg-BG" w:bidi="bg-BG"/>
        </w:rPr>
        <w:t>grant</w:t>
      </w:r>
      <w:r>
        <w:rPr>
          <w:rStyle w:val="Bodytext1"/>
          <w:noProof/>
          <w:szCs w:val="24"/>
          <w:lang w:eastAsia="bg-BG" w:bidi="bg-BG"/>
        </w:rPr>
        <w:t>ing</w:t>
      </w:r>
      <w:r w:rsidRPr="00973061">
        <w:rPr>
          <w:rStyle w:val="Bodytext1"/>
          <w:noProof/>
          <w:szCs w:val="24"/>
          <w:lang w:eastAsia="bg-BG" w:bidi="bg-BG"/>
        </w:rPr>
        <w:t xml:space="preserve"> legal personality to the political groups and independent members. </w:t>
      </w:r>
      <w:r>
        <w:rPr>
          <w:rStyle w:val="Bodytext1"/>
          <w:noProof/>
          <w:szCs w:val="24"/>
          <w:lang w:eastAsia="bg-BG" w:bidi="bg-BG"/>
        </w:rPr>
        <w:t>F</w:t>
      </w:r>
      <w:r w:rsidRPr="00973061">
        <w:rPr>
          <w:rStyle w:val="Bodytext1"/>
          <w:noProof/>
          <w:szCs w:val="24"/>
          <w:lang w:eastAsia="bg-BG" w:bidi="bg-BG"/>
        </w:rPr>
        <w:t>rom the financial year 2026</w:t>
      </w:r>
      <w:r>
        <w:rPr>
          <w:rStyle w:val="Bodytext1"/>
          <w:noProof/>
          <w:szCs w:val="24"/>
          <w:lang w:eastAsia="bg-BG" w:bidi="bg-BG"/>
        </w:rPr>
        <w:t xml:space="preserve"> onwards</w:t>
      </w:r>
      <w:r w:rsidRPr="00973061">
        <w:rPr>
          <w:rStyle w:val="Bodytext1"/>
          <w:noProof/>
          <w:szCs w:val="24"/>
          <w:lang w:eastAsia="bg-BG" w:bidi="bg-BG"/>
        </w:rPr>
        <w:t xml:space="preserve">, the Court of Auditors will verify annually the use of funds allocated to political groups and independent members through the Parliament budget </w:t>
      </w:r>
      <w:r w:rsidRPr="00973061">
        <w:rPr>
          <w:rStyle w:val="FootnoteReference"/>
          <w:noProof/>
          <w:szCs w:val="24"/>
          <w:lang w:eastAsia="bg-BG" w:bidi="bg-BG"/>
        </w:rPr>
        <w:footnoteReference w:id="66"/>
      </w:r>
      <w:r w:rsidRPr="00973061">
        <w:rPr>
          <w:rStyle w:val="Bodytext1"/>
          <w:noProof/>
          <w:szCs w:val="24"/>
          <w:lang w:eastAsia="bg-BG" w:bidi="bg-BG"/>
        </w:rPr>
        <w:t>.</w:t>
      </w:r>
    </w:p>
    <w:p w14:paraId="07E0D7F7" w14:textId="77777777" w:rsidR="00E53886" w:rsidRPr="00973061" w:rsidRDefault="00E53886" w:rsidP="00E53886">
      <w:pPr>
        <w:pStyle w:val="Bodytext10"/>
        <w:spacing w:after="240"/>
        <w:jc w:val="both"/>
        <w:rPr>
          <w:noProof/>
          <w:szCs w:val="24"/>
        </w:rPr>
      </w:pPr>
      <w:r>
        <w:rPr>
          <w:rStyle w:val="Bodytext1"/>
          <w:b/>
          <w:bCs/>
          <w:noProof/>
          <w:szCs w:val="24"/>
        </w:rPr>
        <w:t>D</w:t>
      </w:r>
      <w:r w:rsidRPr="00973061">
        <w:rPr>
          <w:rStyle w:val="Bodytext1"/>
          <w:b/>
          <w:bCs/>
          <w:noProof/>
          <w:szCs w:val="24"/>
        </w:rPr>
        <w:t>iscussions on draft laws introducing codes of conduct for elected representatives at municipal level are continuing</w:t>
      </w:r>
      <w:r w:rsidRPr="00973061">
        <w:rPr>
          <w:rStyle w:val="FootnoteReference"/>
          <w:b/>
          <w:bCs/>
          <w:noProof/>
          <w:szCs w:val="24"/>
        </w:rPr>
        <w:footnoteReference w:id="67"/>
      </w:r>
      <w:r w:rsidRPr="00973061">
        <w:rPr>
          <w:rStyle w:val="Bodytext1"/>
          <w:b/>
          <w:bCs/>
          <w:noProof/>
          <w:szCs w:val="24"/>
        </w:rPr>
        <w:t xml:space="preserve">. </w:t>
      </w:r>
      <w:r w:rsidRPr="00973061">
        <w:rPr>
          <w:rStyle w:val="Bodytext1"/>
          <w:noProof/>
          <w:szCs w:val="24"/>
        </w:rPr>
        <w:t>The Government introduced amendments on 18 November 2025</w:t>
      </w:r>
      <w:r w:rsidRPr="00973061">
        <w:rPr>
          <w:rStyle w:val="FootnoteReference"/>
          <w:noProof/>
          <w:szCs w:val="24"/>
        </w:rPr>
        <w:footnoteReference w:id="68"/>
      </w:r>
      <w:r>
        <w:rPr>
          <w:rStyle w:val="Bodytext1"/>
          <w:noProof/>
          <w:szCs w:val="24"/>
        </w:rPr>
        <w:t>,</w:t>
      </w:r>
      <w:r w:rsidRPr="00973061">
        <w:rPr>
          <w:rStyle w:val="Bodytext1"/>
          <w:noProof/>
          <w:szCs w:val="24"/>
        </w:rPr>
        <w:t xml:space="preserve"> following the opinions of the Council of State</w:t>
      </w:r>
      <w:r w:rsidRPr="00973061">
        <w:rPr>
          <w:rStyle w:val="FootnoteReference"/>
          <w:noProof/>
          <w:szCs w:val="24"/>
        </w:rPr>
        <w:footnoteReference w:id="69"/>
      </w:r>
      <w:r>
        <w:rPr>
          <w:rStyle w:val="Bodytext1"/>
          <w:noProof/>
          <w:szCs w:val="24"/>
        </w:rPr>
        <w:t>,</w:t>
      </w:r>
      <w:r w:rsidRPr="00973061">
        <w:rPr>
          <w:rStyle w:val="Bodytext1"/>
          <w:noProof/>
          <w:szCs w:val="24"/>
        </w:rPr>
        <w:t xml:space="preserve"> and of the Union of cities and municipalities of Luxembourg</w:t>
      </w:r>
      <w:r w:rsidRPr="00973061">
        <w:rPr>
          <w:rStyle w:val="FootnoteReference"/>
          <w:noProof/>
          <w:szCs w:val="24"/>
        </w:rPr>
        <w:footnoteReference w:id="70"/>
      </w:r>
      <w:r w:rsidRPr="00973061">
        <w:rPr>
          <w:rStyle w:val="Bodytext1"/>
          <w:noProof/>
          <w:szCs w:val="24"/>
        </w:rPr>
        <w:t>. The proposed amendments provide a clearer definition of “presents and advantages”</w:t>
      </w:r>
      <w:r>
        <w:rPr>
          <w:rStyle w:val="Bodytext1"/>
          <w:noProof/>
          <w:szCs w:val="24"/>
        </w:rPr>
        <w:t xml:space="preserve"> and </w:t>
      </w:r>
      <w:r w:rsidRPr="00973061">
        <w:rPr>
          <w:rStyle w:val="Bodytext1"/>
          <w:noProof/>
          <w:szCs w:val="24"/>
        </w:rPr>
        <w:t>limit the scope of the declarations of interests and asset declarations</w:t>
      </w:r>
      <w:r w:rsidRPr="00973061">
        <w:rPr>
          <w:rStyle w:val="FootnoteReference"/>
          <w:noProof/>
          <w:szCs w:val="24"/>
        </w:rPr>
        <w:footnoteReference w:id="71"/>
      </w:r>
      <w:r>
        <w:rPr>
          <w:rStyle w:val="Bodytext1"/>
          <w:noProof/>
          <w:szCs w:val="24"/>
        </w:rPr>
        <w:t xml:space="preserve">. The </w:t>
      </w:r>
      <w:r w:rsidRPr="00973061">
        <w:rPr>
          <w:rStyle w:val="Bodytext1"/>
          <w:noProof/>
          <w:szCs w:val="24"/>
        </w:rPr>
        <w:t>propos</w:t>
      </w:r>
      <w:r>
        <w:rPr>
          <w:rStyle w:val="Bodytext1"/>
          <w:noProof/>
          <w:szCs w:val="24"/>
        </w:rPr>
        <w:t>al for the</w:t>
      </w:r>
      <w:r w:rsidRPr="00973061">
        <w:rPr>
          <w:rStyle w:val="Bodytext1"/>
          <w:noProof/>
          <w:szCs w:val="24"/>
        </w:rPr>
        <w:t xml:space="preserve"> establishment of a transparency register at municipal level</w:t>
      </w:r>
      <w:r>
        <w:rPr>
          <w:rStyle w:val="Bodytext1"/>
          <w:noProof/>
          <w:szCs w:val="24"/>
        </w:rPr>
        <w:t xml:space="preserve"> is no longer under consideration.</w:t>
      </w:r>
    </w:p>
    <w:p w14:paraId="57C9E397" w14:textId="1CCB6C90" w:rsidR="00E53886" w:rsidRPr="00973061" w:rsidRDefault="00E53886" w:rsidP="00E53886">
      <w:pPr>
        <w:pStyle w:val="Bodytext10"/>
        <w:spacing w:after="240"/>
        <w:jc w:val="both"/>
        <w:rPr>
          <w:noProof/>
          <w:szCs w:val="24"/>
        </w:rPr>
      </w:pPr>
      <w:r w:rsidRPr="00973061">
        <w:rPr>
          <w:rStyle w:val="Bodytext1"/>
          <w:b/>
          <w:bCs/>
          <w:noProof/>
          <w:szCs w:val="24"/>
        </w:rPr>
        <w:t xml:space="preserve">The Deontology Committee continued </w:t>
      </w:r>
      <w:r>
        <w:rPr>
          <w:rStyle w:val="Bodytext1"/>
          <w:b/>
          <w:bCs/>
          <w:noProof/>
          <w:szCs w:val="24"/>
        </w:rPr>
        <w:t xml:space="preserve">to </w:t>
      </w:r>
      <w:r w:rsidRPr="00973061">
        <w:rPr>
          <w:rStyle w:val="Bodytext1"/>
          <w:b/>
          <w:bCs/>
          <w:noProof/>
          <w:szCs w:val="24"/>
        </w:rPr>
        <w:t xml:space="preserve">monitor </w:t>
      </w:r>
      <w:r>
        <w:rPr>
          <w:rStyle w:val="Bodytext1"/>
          <w:b/>
          <w:bCs/>
          <w:noProof/>
          <w:szCs w:val="24"/>
        </w:rPr>
        <w:t>compliance with</w:t>
      </w:r>
      <w:r w:rsidRPr="00973061">
        <w:rPr>
          <w:rStyle w:val="Bodytext1"/>
          <w:b/>
          <w:bCs/>
          <w:noProof/>
          <w:szCs w:val="24"/>
        </w:rPr>
        <w:t xml:space="preserve"> </w:t>
      </w:r>
      <w:r>
        <w:rPr>
          <w:rStyle w:val="Bodytext1"/>
          <w:b/>
          <w:bCs/>
          <w:noProof/>
          <w:szCs w:val="24"/>
        </w:rPr>
        <w:t>e</w:t>
      </w:r>
      <w:r w:rsidRPr="00973061">
        <w:rPr>
          <w:rStyle w:val="Bodytext1"/>
          <w:b/>
          <w:bCs/>
          <w:noProof/>
          <w:szCs w:val="24"/>
        </w:rPr>
        <w:t xml:space="preserve">thics rules by the Members of the Government. </w:t>
      </w:r>
      <w:r w:rsidRPr="00973061">
        <w:rPr>
          <w:rStyle w:val="Bodytext1"/>
          <w:noProof/>
          <w:szCs w:val="24"/>
        </w:rPr>
        <w:t>I</w:t>
      </w:r>
      <w:r>
        <w:rPr>
          <w:rStyle w:val="Bodytext1"/>
          <w:noProof/>
          <w:szCs w:val="24"/>
        </w:rPr>
        <w:t xml:space="preserve">n 2025, </w:t>
      </w:r>
      <w:r w:rsidRPr="00973061">
        <w:rPr>
          <w:rStyle w:val="Bodytext1"/>
          <w:noProof/>
          <w:szCs w:val="24"/>
        </w:rPr>
        <w:t>t</w:t>
      </w:r>
      <w:r>
        <w:rPr>
          <w:rStyle w:val="Bodytext1"/>
          <w:noProof/>
          <w:szCs w:val="24"/>
        </w:rPr>
        <w:t>he Committee</w:t>
      </w:r>
      <w:r w:rsidRPr="00973061">
        <w:rPr>
          <w:rStyle w:val="Bodytext1"/>
          <w:noProof/>
          <w:szCs w:val="24"/>
        </w:rPr>
        <w:t xml:space="preserve"> received and controlled two declarations of assets and interests from members of the Government and 2</w:t>
      </w:r>
      <w:r w:rsidR="00905E10">
        <w:rPr>
          <w:rStyle w:val="Bodytext1"/>
          <w:noProof/>
          <w:szCs w:val="24"/>
        </w:rPr>
        <w:t>1</w:t>
      </w:r>
      <w:r w:rsidRPr="00973061">
        <w:rPr>
          <w:rStyle w:val="Bodytext1"/>
          <w:noProof/>
          <w:szCs w:val="24"/>
        </w:rPr>
        <w:t xml:space="preserve"> from Advisers to the Government</w:t>
      </w:r>
      <w:r w:rsidRPr="00973061">
        <w:rPr>
          <w:rStyle w:val="FootnoteReference"/>
          <w:noProof/>
          <w:szCs w:val="24"/>
        </w:rPr>
        <w:footnoteReference w:id="72"/>
      </w:r>
      <w:r w:rsidRPr="00973061">
        <w:rPr>
          <w:rStyle w:val="Bodytext1"/>
          <w:noProof/>
          <w:szCs w:val="24"/>
        </w:rPr>
        <w:t>.</w:t>
      </w:r>
      <w:r w:rsidRPr="00973061">
        <w:rPr>
          <w:rStyle w:val="Bodytext1"/>
          <w:b/>
          <w:bCs/>
          <w:noProof/>
          <w:szCs w:val="24"/>
        </w:rPr>
        <w:t xml:space="preserve"> </w:t>
      </w:r>
      <w:r w:rsidRPr="00973061">
        <w:rPr>
          <w:rStyle w:val="Bodytext1"/>
          <w:noProof/>
          <w:szCs w:val="24"/>
        </w:rPr>
        <w:t>These controls led to one request for clarification</w:t>
      </w:r>
      <w:r>
        <w:rPr>
          <w:rStyle w:val="Bodytext1"/>
          <w:noProof/>
          <w:szCs w:val="24"/>
        </w:rPr>
        <w:t xml:space="preserve">, with </w:t>
      </w:r>
      <w:r w:rsidRPr="00973061">
        <w:rPr>
          <w:rStyle w:val="Bodytext1"/>
          <w:noProof/>
          <w:szCs w:val="24"/>
        </w:rPr>
        <w:t>no conflict of interest identified.</w:t>
      </w:r>
      <w:r w:rsidRPr="00973061">
        <w:rPr>
          <w:rStyle w:val="Bodytext1"/>
          <w:b/>
          <w:bCs/>
          <w:noProof/>
          <w:szCs w:val="24"/>
        </w:rPr>
        <w:t xml:space="preserve"> </w:t>
      </w:r>
      <w:r w:rsidRPr="00973061">
        <w:rPr>
          <w:rStyle w:val="Bodytext1"/>
          <w:noProof/>
          <w:szCs w:val="24"/>
        </w:rPr>
        <w:t>The Committee intervened to ensure the timely update of the transparency register when delays were identified</w:t>
      </w:r>
      <w:r w:rsidRPr="00973061">
        <w:rPr>
          <w:rStyle w:val="FootnoteReference"/>
          <w:noProof/>
          <w:szCs w:val="24"/>
        </w:rPr>
        <w:footnoteReference w:id="73"/>
      </w:r>
      <w:r w:rsidRPr="00973061">
        <w:rPr>
          <w:rStyle w:val="Bodytext1"/>
          <w:noProof/>
          <w:szCs w:val="24"/>
        </w:rPr>
        <w:t>. The Committee also controls the compliance with training obligations by reminding the persons concerned to follow the required training and/or to send the relevant training certificates</w:t>
      </w:r>
      <w:r w:rsidRPr="00973061">
        <w:rPr>
          <w:rStyle w:val="FootnoteReference"/>
          <w:noProof/>
          <w:szCs w:val="24"/>
        </w:rPr>
        <w:footnoteReference w:id="74"/>
      </w:r>
      <w:r w:rsidRPr="00973061">
        <w:rPr>
          <w:rStyle w:val="Bodytext1"/>
          <w:noProof/>
          <w:szCs w:val="24"/>
        </w:rPr>
        <w:t xml:space="preserve">. </w:t>
      </w:r>
    </w:p>
    <w:p w14:paraId="772CEEEB" w14:textId="77777777" w:rsidR="00E53886" w:rsidRPr="00973061" w:rsidRDefault="00E53886" w:rsidP="00E53886">
      <w:pPr>
        <w:pStyle w:val="Bodytext10"/>
        <w:jc w:val="both"/>
        <w:rPr>
          <w:noProof/>
          <w:szCs w:val="24"/>
        </w:rPr>
      </w:pPr>
      <w:r w:rsidRPr="00973061">
        <w:rPr>
          <w:rStyle w:val="Bodytext1"/>
          <w:b/>
          <w:bCs/>
          <w:noProof/>
          <w:szCs w:val="24"/>
        </w:rPr>
        <w:t xml:space="preserve">The number of reported whistleblower alerts </w:t>
      </w:r>
      <w:r>
        <w:rPr>
          <w:rStyle w:val="Bodytext1"/>
          <w:b/>
          <w:bCs/>
          <w:noProof/>
          <w:szCs w:val="24"/>
        </w:rPr>
        <w:t>continued to increase in 2025</w:t>
      </w:r>
      <w:r w:rsidRPr="00973061">
        <w:rPr>
          <w:rStyle w:val="FootnoteReference"/>
          <w:b/>
          <w:bCs/>
          <w:noProof/>
          <w:szCs w:val="24"/>
        </w:rPr>
        <w:footnoteReference w:id="75"/>
      </w:r>
      <w:r w:rsidRPr="00973061">
        <w:rPr>
          <w:rStyle w:val="Bodytext1"/>
          <w:b/>
          <w:bCs/>
          <w:noProof/>
          <w:szCs w:val="24"/>
        </w:rPr>
        <w:t xml:space="preserve">. </w:t>
      </w:r>
      <w:r w:rsidRPr="00973061">
        <w:rPr>
          <w:rStyle w:val="Bodytext1"/>
          <w:noProof/>
          <w:szCs w:val="24"/>
        </w:rPr>
        <w:t>One case related to corruption was opened on the basis of a whistleblower’s report in 2025</w:t>
      </w:r>
      <w:r w:rsidRPr="00973061">
        <w:rPr>
          <w:rStyle w:val="FootnoteReference"/>
          <w:noProof/>
          <w:szCs w:val="24"/>
        </w:rPr>
        <w:footnoteReference w:id="76"/>
      </w:r>
      <w:r w:rsidRPr="00973061">
        <w:rPr>
          <w:rStyle w:val="Bodytext1"/>
          <w:noProof/>
          <w:szCs w:val="24"/>
        </w:rPr>
        <w:t xml:space="preserve">. Such alerts remain marginal but </w:t>
      </w:r>
      <w:r>
        <w:rPr>
          <w:rStyle w:val="Bodytext1"/>
          <w:noProof/>
          <w:szCs w:val="24"/>
        </w:rPr>
        <w:t xml:space="preserve">could </w:t>
      </w:r>
      <w:r w:rsidRPr="00973061">
        <w:rPr>
          <w:rStyle w:val="Bodytext1"/>
          <w:noProof/>
          <w:szCs w:val="24"/>
        </w:rPr>
        <w:t>develop in the future</w:t>
      </w:r>
      <w:r w:rsidRPr="00973061">
        <w:rPr>
          <w:rStyle w:val="FootnoteReference"/>
          <w:noProof/>
          <w:szCs w:val="24"/>
        </w:rPr>
        <w:footnoteReference w:id="77"/>
      </w:r>
      <w:r w:rsidRPr="00973061">
        <w:rPr>
          <w:rStyle w:val="Bodytext1"/>
          <w:noProof/>
          <w:szCs w:val="24"/>
        </w:rPr>
        <w:t>. The Office for Whistleblowers took part in 16 awareness raising activities in 2024</w:t>
      </w:r>
      <w:r w:rsidRPr="00973061">
        <w:rPr>
          <w:rStyle w:val="FootnoteReference"/>
          <w:noProof/>
          <w:szCs w:val="24"/>
        </w:rPr>
        <w:footnoteReference w:id="78"/>
      </w:r>
      <w:r w:rsidRPr="00973061">
        <w:rPr>
          <w:rStyle w:val="Bodytext1"/>
          <w:noProof/>
          <w:szCs w:val="24"/>
        </w:rPr>
        <w:t>. The designation of the Office for Whistleblowers as a centralised official reporting channel is still considered by civil society organisations as a possible way to reinforce the framework for the reporting and protection of whistleblowers</w:t>
      </w:r>
      <w:r w:rsidRPr="00973061">
        <w:rPr>
          <w:rStyle w:val="FootnoteReference"/>
          <w:noProof/>
          <w:szCs w:val="24"/>
        </w:rPr>
        <w:footnoteReference w:id="79"/>
      </w:r>
      <w:r w:rsidRPr="00973061">
        <w:rPr>
          <w:rStyle w:val="Bodytext1"/>
          <w:noProof/>
          <w:szCs w:val="24"/>
        </w:rPr>
        <w:t xml:space="preserve">. The Chamber of </w:t>
      </w:r>
      <w:r w:rsidRPr="00512E39">
        <w:rPr>
          <w:noProof/>
          <w:szCs w:val="24"/>
        </w:rPr>
        <w:t>Skilled</w:t>
      </w:r>
      <w:r w:rsidRPr="00973061">
        <w:rPr>
          <w:noProof/>
          <w:szCs w:val="24"/>
        </w:rPr>
        <w:t xml:space="preserve"> </w:t>
      </w:r>
      <w:r w:rsidRPr="00973061">
        <w:rPr>
          <w:rStyle w:val="Bodytext1"/>
          <w:noProof/>
          <w:szCs w:val="24"/>
        </w:rPr>
        <w:t>Crafts issued internal guidelines and proposes templates for their members to report alerts</w:t>
      </w:r>
      <w:r w:rsidRPr="00973061">
        <w:rPr>
          <w:rStyle w:val="FootnoteReference"/>
          <w:noProof/>
          <w:szCs w:val="24"/>
        </w:rPr>
        <w:footnoteReference w:id="80"/>
      </w:r>
      <w:r w:rsidRPr="00973061">
        <w:rPr>
          <w:rStyle w:val="Bodytext1"/>
          <w:noProof/>
          <w:szCs w:val="24"/>
        </w:rPr>
        <w:t>.</w:t>
      </w:r>
    </w:p>
    <w:p w14:paraId="11D6B020" w14:textId="77777777" w:rsidR="00E53886" w:rsidRPr="00973061" w:rsidRDefault="00E53886" w:rsidP="00E53886">
      <w:pPr>
        <w:pStyle w:val="Bodytext10"/>
        <w:tabs>
          <w:tab w:val="left" w:pos="1536"/>
        </w:tabs>
        <w:spacing w:after="0"/>
        <w:jc w:val="both"/>
        <w:rPr>
          <w:rStyle w:val="Bodytext1"/>
          <w:noProof/>
          <w:szCs w:val="24"/>
          <w:lang w:eastAsia="bg-BG" w:bidi="bg-BG"/>
        </w:rPr>
      </w:pPr>
      <w:r>
        <w:rPr>
          <w:rStyle w:val="Bodytext1"/>
          <w:b/>
          <w:bCs/>
          <w:noProof/>
          <w:szCs w:val="24"/>
        </w:rPr>
        <w:t xml:space="preserve">The identification of sectors at high risk of corruption is part of the </w:t>
      </w:r>
      <w:r w:rsidRPr="00933766">
        <w:rPr>
          <w:b/>
          <w:bCs/>
          <w:noProof/>
          <w:szCs w:val="24"/>
          <w:lang w:eastAsia="bg-BG" w:bidi="bg-BG"/>
        </w:rPr>
        <w:t>on-going</w:t>
      </w:r>
      <w:r>
        <w:rPr>
          <w:b/>
          <w:bCs/>
          <w:noProof/>
          <w:szCs w:val="24"/>
          <w:lang w:eastAsia="bg-BG" w:bidi="bg-BG"/>
        </w:rPr>
        <w:t xml:space="preserve"> </w:t>
      </w:r>
      <w:r w:rsidRPr="00933766">
        <w:rPr>
          <w:b/>
          <w:bCs/>
          <w:noProof/>
          <w:szCs w:val="24"/>
          <w:lang w:eastAsia="bg-BG" w:bidi="bg-BG"/>
        </w:rPr>
        <w:t>national evaluation of corruption</w:t>
      </w:r>
      <w:r>
        <w:rPr>
          <w:b/>
          <w:bCs/>
          <w:noProof/>
          <w:szCs w:val="24"/>
          <w:lang w:eastAsia="bg-BG" w:bidi="bg-BG"/>
        </w:rPr>
        <w:t xml:space="preserve"> risks</w:t>
      </w:r>
      <w:r w:rsidRPr="00515BEF">
        <w:rPr>
          <w:rStyle w:val="FootnoteReference"/>
          <w:b/>
          <w:bCs/>
          <w:noProof/>
          <w:szCs w:val="24"/>
          <w:lang w:eastAsia="bg-BG" w:bidi="bg-BG"/>
        </w:rPr>
        <w:footnoteReference w:id="81"/>
      </w:r>
      <w:r w:rsidRPr="00515BEF">
        <w:rPr>
          <w:b/>
          <w:bCs/>
          <w:noProof/>
          <w:szCs w:val="24"/>
          <w:lang w:eastAsia="bg-BG" w:bidi="bg-BG"/>
        </w:rPr>
        <w:t>.</w:t>
      </w:r>
      <w:r w:rsidRPr="00D007DA">
        <w:rPr>
          <w:rStyle w:val="Bodytext1"/>
          <w:noProof/>
          <w:szCs w:val="24"/>
        </w:rPr>
        <w:t xml:space="preserve"> Businesses’ attitudes towards corruption in the EU show that </w:t>
      </w:r>
      <w:r w:rsidRPr="00D007DA">
        <w:rPr>
          <w:rStyle w:val="Bodytext1"/>
          <w:noProof/>
          <w:szCs w:val="24"/>
          <w:lang w:eastAsia="bg-BG" w:bidi="bg-BG"/>
        </w:rPr>
        <w:t xml:space="preserve">31% </w:t>
      </w:r>
      <w:r w:rsidRPr="00D007DA">
        <w:rPr>
          <w:rStyle w:val="Bodytext1"/>
          <w:noProof/>
          <w:szCs w:val="24"/>
        </w:rPr>
        <w:t xml:space="preserve">of companies in Luxembourg (EU average </w:t>
      </w:r>
      <w:r w:rsidRPr="00D007DA">
        <w:rPr>
          <w:rStyle w:val="Bodytext1"/>
          <w:noProof/>
          <w:szCs w:val="24"/>
          <w:lang w:eastAsia="bg-BG" w:bidi="bg-BG"/>
        </w:rPr>
        <w:t xml:space="preserve">30%) </w:t>
      </w:r>
      <w:r w:rsidRPr="00D007DA">
        <w:rPr>
          <w:rStyle w:val="Bodytext1"/>
          <w:noProof/>
          <w:szCs w:val="24"/>
        </w:rPr>
        <w:t>think that corruption has prevented them from winning a public tender in practice in the last three years</w:t>
      </w:r>
      <w:r w:rsidRPr="00D007DA">
        <w:rPr>
          <w:rStyle w:val="Bodytext1"/>
          <w:noProof/>
          <w:szCs w:val="24"/>
          <w:vertAlign w:val="superscript"/>
        </w:rPr>
        <w:footnoteReference w:id="82"/>
      </w:r>
      <w:r w:rsidRPr="00D007DA">
        <w:rPr>
          <w:rStyle w:val="Bodytext1"/>
          <w:noProof/>
          <w:szCs w:val="24"/>
        </w:rPr>
        <w:t xml:space="preserve">. </w:t>
      </w:r>
      <w:r w:rsidRPr="00D007DA">
        <w:rPr>
          <w:rStyle w:val="Bodytext1"/>
          <w:noProof/>
          <w:szCs w:val="24"/>
          <w:lang w:eastAsia="bg-BG" w:bidi="bg-BG"/>
        </w:rPr>
        <w:t xml:space="preserve">77% </w:t>
      </w:r>
      <w:r w:rsidRPr="00D007DA">
        <w:rPr>
          <w:rStyle w:val="Bodytext1"/>
          <w:noProof/>
          <w:szCs w:val="24"/>
        </w:rPr>
        <w:t>of companies perceive the level of independence of the public procurement review body (Administrative Court) as very or fairly good</w:t>
      </w:r>
      <w:r w:rsidRPr="00D007DA">
        <w:rPr>
          <w:rStyle w:val="Bodytext1"/>
          <w:noProof/>
          <w:szCs w:val="24"/>
          <w:vertAlign w:val="superscript"/>
        </w:rPr>
        <w:footnoteReference w:id="83"/>
      </w:r>
      <w:r w:rsidRPr="00D007DA">
        <w:rPr>
          <w:rStyle w:val="Bodytext1"/>
          <w:noProof/>
          <w:szCs w:val="24"/>
        </w:rPr>
        <w:t xml:space="preserve">. The Single Market and Competitiveness Scoreboard on access to public procurement in Luxembourg reports </w:t>
      </w:r>
      <w:r w:rsidRPr="00D007DA">
        <w:rPr>
          <w:rStyle w:val="Bodytext1"/>
          <w:noProof/>
          <w:szCs w:val="24"/>
          <w:lang w:eastAsia="bg-BG" w:bidi="bg-BG"/>
        </w:rPr>
        <w:t xml:space="preserve">31% </w:t>
      </w:r>
      <w:r w:rsidRPr="00D007DA">
        <w:rPr>
          <w:rStyle w:val="Bodytext1"/>
          <w:noProof/>
          <w:szCs w:val="24"/>
        </w:rPr>
        <w:t xml:space="preserve">of single bids for </w:t>
      </w:r>
      <w:r w:rsidRPr="00D007DA">
        <w:rPr>
          <w:rStyle w:val="Bodytext1"/>
          <w:noProof/>
          <w:szCs w:val="24"/>
          <w:lang w:eastAsia="bg-BG" w:bidi="bg-BG"/>
        </w:rPr>
        <w:t xml:space="preserve">2023 </w:t>
      </w:r>
      <w:r w:rsidRPr="00D007DA">
        <w:rPr>
          <w:rStyle w:val="Bodytext1"/>
          <w:noProof/>
          <w:szCs w:val="24"/>
        </w:rPr>
        <w:t xml:space="preserve">(EU average </w:t>
      </w:r>
      <w:r w:rsidRPr="00D007DA">
        <w:rPr>
          <w:rStyle w:val="Bodytext1"/>
          <w:noProof/>
          <w:szCs w:val="24"/>
          <w:lang w:eastAsia="bg-BG" w:bidi="bg-BG"/>
        </w:rPr>
        <w:t>27%).</w:t>
      </w:r>
      <w:r w:rsidRPr="00973061">
        <w:rPr>
          <w:rStyle w:val="Bodytext1"/>
          <w:noProof/>
          <w:szCs w:val="24"/>
          <w:lang w:eastAsia="bg-BG" w:bidi="bg-BG"/>
        </w:rPr>
        <w:t xml:space="preserve"> </w:t>
      </w:r>
      <w:r>
        <w:rPr>
          <w:rStyle w:val="Bodytext1"/>
          <w:noProof/>
          <w:szCs w:val="24"/>
          <w:lang w:eastAsia="bg-BG" w:bidi="bg-BG"/>
        </w:rPr>
        <w:t>P</w:t>
      </w:r>
      <w:r w:rsidRPr="00AA684B">
        <w:rPr>
          <w:noProof/>
          <w:szCs w:val="24"/>
          <w:lang w:eastAsia="bg-BG" w:bidi="bg-BG"/>
        </w:rPr>
        <w:t>ublic procurement</w:t>
      </w:r>
      <w:r>
        <w:rPr>
          <w:noProof/>
          <w:szCs w:val="24"/>
          <w:lang w:eastAsia="bg-BG" w:bidi="bg-BG"/>
        </w:rPr>
        <w:t xml:space="preserve"> </w:t>
      </w:r>
      <w:r w:rsidRPr="00AA684B">
        <w:rPr>
          <w:noProof/>
          <w:szCs w:val="24"/>
          <w:lang w:eastAsia="bg-BG" w:bidi="bg-BG"/>
        </w:rPr>
        <w:t>remains</w:t>
      </w:r>
      <w:r>
        <w:rPr>
          <w:noProof/>
          <w:szCs w:val="24"/>
          <w:lang w:eastAsia="bg-BG" w:bidi="bg-BG"/>
        </w:rPr>
        <w:t xml:space="preserve"> </w:t>
      </w:r>
      <w:r w:rsidRPr="00AA684B">
        <w:rPr>
          <w:noProof/>
          <w:szCs w:val="24"/>
          <w:lang w:eastAsia="bg-BG" w:bidi="bg-BG"/>
        </w:rPr>
        <w:t>a high</w:t>
      </w:r>
      <w:r>
        <w:rPr>
          <w:noProof/>
          <w:szCs w:val="24"/>
          <w:lang w:eastAsia="bg-BG" w:bidi="bg-BG"/>
        </w:rPr>
        <w:noBreakHyphen/>
      </w:r>
      <w:r w:rsidRPr="00AA684B">
        <w:rPr>
          <w:noProof/>
          <w:szCs w:val="24"/>
          <w:lang w:eastAsia="bg-BG" w:bidi="bg-BG"/>
        </w:rPr>
        <w:t>risk</w:t>
      </w:r>
      <w:r>
        <w:rPr>
          <w:noProof/>
          <w:szCs w:val="24"/>
          <w:lang w:eastAsia="bg-BG" w:bidi="bg-BG"/>
        </w:rPr>
        <w:t xml:space="preserve"> </w:t>
      </w:r>
      <w:r w:rsidRPr="00AA684B">
        <w:rPr>
          <w:noProof/>
          <w:szCs w:val="24"/>
          <w:lang w:eastAsia="bg-BG" w:bidi="bg-BG"/>
        </w:rPr>
        <w:t>area</w:t>
      </w:r>
      <w:r>
        <w:rPr>
          <w:noProof/>
          <w:szCs w:val="24"/>
          <w:lang w:eastAsia="bg-BG" w:bidi="bg-BG"/>
        </w:rPr>
        <w:t>, which</w:t>
      </w:r>
      <w:r w:rsidRPr="00AA684B">
        <w:rPr>
          <w:noProof/>
          <w:szCs w:val="24"/>
          <w:lang w:eastAsia="bg-BG" w:bidi="bg-BG"/>
        </w:rPr>
        <w:t xml:space="preserve"> </w:t>
      </w:r>
      <w:r>
        <w:rPr>
          <w:noProof/>
          <w:szCs w:val="24"/>
          <w:lang w:eastAsia="bg-BG" w:bidi="bg-BG"/>
        </w:rPr>
        <w:t xml:space="preserve">is </w:t>
      </w:r>
      <w:r w:rsidRPr="00AA684B">
        <w:rPr>
          <w:noProof/>
          <w:szCs w:val="24"/>
          <w:lang w:eastAsia="bg-BG" w:bidi="bg-BG"/>
        </w:rPr>
        <w:t>covered by the national evaluation of corruption risk</w:t>
      </w:r>
      <w:r>
        <w:rPr>
          <w:noProof/>
          <w:szCs w:val="24"/>
          <w:lang w:eastAsia="bg-BG" w:bidi="bg-BG"/>
        </w:rPr>
        <w:t>s</w:t>
      </w:r>
      <w:r>
        <w:rPr>
          <w:rStyle w:val="FootnoteReference"/>
          <w:noProof/>
          <w:szCs w:val="24"/>
          <w:lang w:eastAsia="bg-BG" w:bidi="bg-BG"/>
        </w:rPr>
        <w:footnoteReference w:id="84"/>
      </w:r>
      <w:r>
        <w:rPr>
          <w:noProof/>
          <w:szCs w:val="24"/>
          <w:lang w:eastAsia="bg-BG" w:bidi="bg-BG"/>
        </w:rPr>
        <w:t>.</w:t>
      </w:r>
      <w:r w:rsidRPr="00AA684B">
        <w:rPr>
          <w:noProof/>
          <w:szCs w:val="24"/>
          <w:lang w:eastAsia="bg-BG" w:bidi="bg-BG"/>
        </w:rPr>
        <w:t xml:space="preserve"> </w:t>
      </w:r>
      <w:r w:rsidRPr="00973061">
        <w:rPr>
          <w:rStyle w:val="Bodytext1"/>
          <w:noProof/>
          <w:szCs w:val="24"/>
        </w:rPr>
        <w:t>Corruption schemes in the high</w:t>
      </w:r>
      <w:r>
        <w:rPr>
          <w:rStyle w:val="Bodytext1"/>
          <w:noProof/>
          <w:szCs w:val="24"/>
          <w:vertAlign w:val="subscript"/>
        </w:rPr>
        <w:noBreakHyphen/>
      </w:r>
      <w:r w:rsidRPr="00973061">
        <w:rPr>
          <w:rStyle w:val="Bodytext1"/>
          <w:noProof/>
          <w:szCs w:val="24"/>
        </w:rPr>
        <w:t>risk financial sector are becoming increasingly sophisticated</w:t>
      </w:r>
      <w:r>
        <w:rPr>
          <w:rStyle w:val="Bodytext1"/>
          <w:noProof/>
          <w:szCs w:val="24"/>
        </w:rPr>
        <w:t>. A</w:t>
      </w:r>
      <w:r w:rsidRPr="00973061">
        <w:rPr>
          <w:rStyle w:val="Bodytext1"/>
          <w:noProof/>
          <w:szCs w:val="24"/>
        </w:rPr>
        <w:t xml:space="preserve">ctors in this sector are </w:t>
      </w:r>
      <w:r>
        <w:rPr>
          <w:rStyle w:val="Bodytext1"/>
          <w:noProof/>
          <w:szCs w:val="24"/>
        </w:rPr>
        <w:t>generally</w:t>
      </w:r>
      <w:r w:rsidRPr="00973061">
        <w:rPr>
          <w:rStyle w:val="Bodytext1"/>
          <w:noProof/>
          <w:szCs w:val="24"/>
        </w:rPr>
        <w:t xml:space="preserve"> aware of the associated risks and existing safeguards</w:t>
      </w:r>
      <w:r>
        <w:rPr>
          <w:rStyle w:val="Bodytext1"/>
          <w:noProof/>
          <w:szCs w:val="24"/>
        </w:rPr>
        <w:t xml:space="preserve">, including </w:t>
      </w:r>
      <w:r w:rsidRPr="00973061">
        <w:rPr>
          <w:rStyle w:val="Bodytext1"/>
          <w:noProof/>
          <w:szCs w:val="24"/>
        </w:rPr>
        <w:t>awareness raising activities</w:t>
      </w:r>
      <w:r>
        <w:rPr>
          <w:rStyle w:val="Bodytext1"/>
          <w:noProof/>
          <w:szCs w:val="24"/>
        </w:rPr>
        <w:t xml:space="preserve">, as well as </w:t>
      </w:r>
      <w:r w:rsidRPr="00973061">
        <w:rPr>
          <w:rStyle w:val="Bodytext1"/>
          <w:noProof/>
          <w:szCs w:val="24"/>
        </w:rPr>
        <w:t>enhanced cooperation</w:t>
      </w:r>
      <w:r>
        <w:rPr>
          <w:rStyle w:val="Bodytext1"/>
          <w:noProof/>
          <w:szCs w:val="24"/>
        </w:rPr>
        <w:t xml:space="preserve"> and information sharing between competent authorities and actors from the private sectors</w:t>
      </w:r>
      <w:r w:rsidRPr="00973061">
        <w:rPr>
          <w:rStyle w:val="FootnoteReference"/>
          <w:noProof/>
          <w:szCs w:val="24"/>
        </w:rPr>
        <w:footnoteReference w:id="85"/>
      </w:r>
      <w:r w:rsidRPr="00973061">
        <w:rPr>
          <w:rStyle w:val="Bodytext1"/>
          <w:noProof/>
          <w:szCs w:val="24"/>
        </w:rPr>
        <w:t>.</w:t>
      </w:r>
    </w:p>
    <w:p w14:paraId="742F6DC0" w14:textId="77777777" w:rsidR="00E53886" w:rsidRPr="00BA67FB" w:rsidRDefault="00E53886" w:rsidP="00E17E28">
      <w:pPr>
        <w:pStyle w:val="Heading1"/>
        <w:numPr>
          <w:ilvl w:val="0"/>
          <w:numId w:val="40"/>
        </w:numPr>
        <w:rPr>
          <w:noProof/>
          <w:u w:val="single"/>
        </w:rPr>
      </w:pPr>
      <w:r w:rsidRPr="00BA67FB">
        <w:rPr>
          <w:noProof/>
          <w:u w:val="single"/>
        </w:rPr>
        <w:t xml:space="preserve">Media Pluralism and Media Freedom </w:t>
      </w:r>
    </w:p>
    <w:p w14:paraId="5A924C72" w14:textId="7D802095" w:rsidR="00E53886" w:rsidRPr="00D007DA" w:rsidRDefault="00E53886" w:rsidP="00A158A1">
      <w:pPr>
        <w:rPr>
          <w:noProof/>
          <w:lang w:val="en-IE"/>
        </w:rPr>
      </w:pPr>
      <w:r w:rsidRPr="00512E39">
        <w:rPr>
          <w:b/>
          <w:bCs/>
          <w:noProof/>
        </w:rPr>
        <w:t>The ongoing reform of the media regulatory framework aims to substantially strengthen the role, mandate and functioning of the national media regulator.</w:t>
      </w:r>
      <w:r>
        <w:rPr>
          <w:b/>
          <w:bCs/>
          <w:noProof/>
        </w:rPr>
        <w:t xml:space="preserve"> </w:t>
      </w:r>
      <w:r w:rsidRPr="00D007DA">
        <w:rPr>
          <w:noProof/>
        </w:rPr>
        <w:t>As part of the broader reform of the media regulatory framework, including preparations for the implementation of the European Media Freedom Act (EMFA), Luxembourg has introduced</w:t>
      </w:r>
      <w:r>
        <w:rPr>
          <w:noProof/>
        </w:rPr>
        <w:t xml:space="preserve"> t</w:t>
      </w:r>
      <w:r w:rsidRPr="00512E39">
        <w:rPr>
          <w:noProof/>
        </w:rPr>
        <w:t>he draft law</w:t>
      </w:r>
      <w:r w:rsidRPr="00512E39">
        <w:rPr>
          <w:rStyle w:val="FootnoteReference"/>
          <w:noProof/>
        </w:rPr>
        <w:footnoteReference w:id="86"/>
      </w:r>
      <w:r w:rsidRPr="00512E39">
        <w:rPr>
          <w:noProof/>
        </w:rPr>
        <w:t xml:space="preserve"> </w:t>
      </w:r>
      <w:r w:rsidRPr="00D007DA">
        <w:rPr>
          <w:noProof/>
        </w:rPr>
        <w:t>on the Media and Establishing the Independent Luxembourg Media Authority</w:t>
      </w:r>
      <w:r>
        <w:rPr>
          <w:noProof/>
        </w:rPr>
        <w:t xml:space="preserve">. It </w:t>
      </w:r>
      <w:r w:rsidRPr="00512E39">
        <w:rPr>
          <w:noProof/>
        </w:rPr>
        <w:t>sets out the transformation of the Autorité luxembourgeoise indépendante de l’audiovisuel (ALIA) into a broader Luxembourg Independent Media Authority (LIMA), with an expanded scope of competence covering not only audiovisual media but also the written press, online media services, digital platforms and content creators</w:t>
      </w:r>
      <w:r>
        <w:rPr>
          <w:rStyle w:val="FootnoteReference"/>
          <w:noProof/>
        </w:rPr>
        <w:footnoteReference w:id="87"/>
      </w:r>
      <w:r w:rsidRPr="00512E39">
        <w:rPr>
          <w:noProof/>
        </w:rPr>
        <w:t>. The reform would introduce new supervisory and enforcement powers, including the possibility to order the removal of illegal content, to issue formal notices and to impose more dissuasive sanctions, while also revising governance structures to improve efficiency and professionalise decision-making</w:t>
      </w:r>
      <w:r w:rsidRPr="00512E39">
        <w:rPr>
          <w:rStyle w:val="FootnoteReference"/>
          <w:noProof/>
        </w:rPr>
        <w:footnoteReference w:id="88"/>
      </w:r>
      <w:r w:rsidRPr="00512E39">
        <w:rPr>
          <w:noProof/>
        </w:rPr>
        <w:t xml:space="preserve">. ALIA assessed the reform overall positively, in particular as it addresses previous gaps in relation to online content and is expected to enhance </w:t>
      </w:r>
      <w:r>
        <w:rPr>
          <w:noProof/>
        </w:rPr>
        <w:t xml:space="preserve">the </w:t>
      </w:r>
      <w:r w:rsidRPr="00512E39">
        <w:rPr>
          <w:noProof/>
        </w:rPr>
        <w:t xml:space="preserve">effectiveness of the authority’s supervisory and enforcement functions in an evolving media landscape. However, ALIA raised concerns regarding certain aspects of the reform affecting </w:t>
      </w:r>
      <w:r w:rsidR="58A24969" w:rsidRPr="00512E39">
        <w:rPr>
          <w:noProof/>
        </w:rPr>
        <w:t>governance</w:t>
      </w:r>
      <w:r w:rsidRPr="00512E39">
        <w:rPr>
          <w:noProof/>
        </w:rPr>
        <w:t>, notably the dismissal procedures for management and the composition of the board of administration of the authority</w:t>
      </w:r>
      <w:r w:rsidRPr="00512E39">
        <w:rPr>
          <w:rStyle w:val="FootnoteReference"/>
          <w:noProof/>
        </w:rPr>
        <w:footnoteReference w:id="89"/>
      </w:r>
      <w:r w:rsidRPr="00512E39">
        <w:rPr>
          <w:noProof/>
        </w:rPr>
        <w:t>. While the reform is accompanied by an increase in public funding and staff resources</w:t>
      </w:r>
      <w:r w:rsidRPr="00512E39">
        <w:rPr>
          <w:rStyle w:val="FootnoteReference"/>
          <w:noProof/>
        </w:rPr>
        <w:footnoteReference w:id="90"/>
      </w:r>
      <w:r w:rsidRPr="00512E39">
        <w:rPr>
          <w:noProof/>
        </w:rPr>
        <w:t>, the regulator noted that these may need to be assessed as it may be insufficient in light of its expanded mandate, which includes new tasks under EU legislation, notably the implementation of the European Media Freedom Act</w:t>
      </w:r>
      <w:r w:rsidRPr="00512E39">
        <w:rPr>
          <w:rStyle w:val="FootnoteReference"/>
          <w:noProof/>
        </w:rPr>
        <w:footnoteReference w:id="91"/>
      </w:r>
      <w:r w:rsidRPr="00512E39">
        <w:rPr>
          <w:noProof/>
        </w:rPr>
        <w:t xml:space="preserve"> and the Regulation on political advertising</w:t>
      </w:r>
      <w:r w:rsidRPr="00512E39">
        <w:rPr>
          <w:rStyle w:val="FootnoteReference"/>
          <w:noProof/>
        </w:rPr>
        <w:footnoteReference w:id="92"/>
      </w:r>
      <w:r w:rsidRPr="00512E39">
        <w:rPr>
          <w:noProof/>
        </w:rPr>
        <w:t>, as well as extended national responsibilities. ALIA also highlighted the need for multiannual funding arrangements to ensure greater predictability of funding. Finally, effective implementation is expected to benefit from strengthened cooperation with other bodies, including the Press Council and the Competition Authority, particularly on the monitoring of media market concentration</w:t>
      </w:r>
      <w:r w:rsidRPr="00512E39">
        <w:rPr>
          <w:rStyle w:val="FootnoteReference"/>
          <w:noProof/>
        </w:rPr>
        <w:footnoteReference w:id="93"/>
      </w:r>
      <w:r w:rsidRPr="00512E39">
        <w:rPr>
          <w:noProof/>
        </w:rPr>
        <w:t>.</w:t>
      </w:r>
    </w:p>
    <w:p w14:paraId="398B8842" w14:textId="2813C479" w:rsidR="00E53886" w:rsidRPr="00512E39" w:rsidRDefault="00E53886" w:rsidP="2671D05D">
      <w:pPr>
        <w:rPr>
          <w:noProof/>
        </w:rPr>
      </w:pPr>
      <w:r w:rsidRPr="7C9080CC">
        <w:rPr>
          <w:b/>
          <w:bCs/>
          <w:noProof/>
        </w:rPr>
        <w:t xml:space="preserve">The media reform also strengthens the role of the Press Council, while public support for journalism continues to be ensured through the existing aid scheme. </w:t>
      </w:r>
      <w:r w:rsidRPr="7C9080CC">
        <w:rPr>
          <w:noProof/>
        </w:rPr>
        <w:t>The draft law</w:t>
      </w:r>
      <w:r w:rsidRPr="7C9080CC">
        <w:rPr>
          <w:rStyle w:val="FootnoteReference"/>
          <w:noProof/>
        </w:rPr>
        <w:footnoteReference w:id="94"/>
      </w:r>
      <w:r w:rsidRPr="7C9080CC">
        <w:rPr>
          <w:noProof/>
        </w:rPr>
        <w:t xml:space="preserve"> </w:t>
      </w:r>
      <w:r w:rsidRPr="001B7B67">
        <w:rPr>
          <w:noProof/>
        </w:rPr>
        <w:t>on the Media and Establishing the Independent Luxembourg Media Authority</w:t>
      </w:r>
      <w:r>
        <w:rPr>
          <w:noProof/>
        </w:rPr>
        <w:t xml:space="preserve"> </w:t>
      </w:r>
      <w:r w:rsidRPr="7C9080CC">
        <w:rPr>
          <w:noProof/>
        </w:rPr>
        <w:t>would explicitly recognise the Press Council’s competences and introduce the possibility of own-initiative proceedings, which could enhance its capacity to act proactively. It also clarifies its interaction with the media regulator, based on a distinction between regulatory oversight of media service providers by the authority and the self-regulation of journalists by the Press Council, which is responsible for ensuring compliance with journalistic ethical standards</w:t>
      </w:r>
      <w:r w:rsidRPr="7C9080CC">
        <w:rPr>
          <w:rStyle w:val="FootnoteReference"/>
          <w:noProof/>
        </w:rPr>
        <w:footnoteReference w:id="95"/>
      </w:r>
      <w:r w:rsidRPr="7C9080CC">
        <w:rPr>
          <w:noProof/>
        </w:rPr>
        <w:t>.</w:t>
      </w:r>
      <w:r w:rsidRPr="7C9080CC">
        <w:rPr>
          <w:b/>
          <w:bCs/>
          <w:noProof/>
        </w:rPr>
        <w:t xml:space="preserve"> </w:t>
      </w:r>
      <w:r w:rsidRPr="7C9080CC">
        <w:rPr>
          <w:noProof/>
        </w:rPr>
        <w:t>In cases involving journalistic content or potential ethical breaches, complaints are to be systematically referred or subject to consultation with the Press Council, enabling the regulator to rely on its expertise.</w:t>
      </w:r>
      <w:r w:rsidRPr="7C9080CC">
        <w:rPr>
          <w:b/>
          <w:bCs/>
          <w:noProof/>
        </w:rPr>
        <w:t xml:space="preserve"> </w:t>
      </w:r>
      <w:r w:rsidRPr="7C9080CC">
        <w:rPr>
          <w:noProof/>
        </w:rPr>
        <w:t>Stakeholders welcomed this approach, noting that its effectiveness will require clear practical arrangements</w:t>
      </w:r>
      <w:r w:rsidRPr="7C9080CC">
        <w:rPr>
          <w:rStyle w:val="FootnoteReference"/>
          <w:noProof/>
        </w:rPr>
        <w:footnoteReference w:id="96"/>
      </w:r>
      <w:r w:rsidRPr="7C9080CC">
        <w:rPr>
          <w:noProof/>
        </w:rPr>
        <w:t>, including in cases of shared competence, and calling for the possibility for the authority and the Press Council to issue joint opinions when relevant</w:t>
      </w:r>
      <w:r w:rsidRPr="7C9080CC">
        <w:rPr>
          <w:rStyle w:val="FootnoteReference"/>
          <w:noProof/>
        </w:rPr>
        <w:footnoteReference w:id="97"/>
      </w:r>
      <w:r w:rsidRPr="7C9080CC">
        <w:rPr>
          <w:noProof/>
        </w:rPr>
        <w:t>. In parallel, an evaluation of the application of the 2021 Law on Support for Professional Journalism</w:t>
      </w:r>
      <w:r w:rsidRPr="00781042">
        <w:rPr>
          <w:noProof/>
        </w:rPr>
        <w:footnoteReference w:id="98"/>
      </w:r>
      <w:r w:rsidRPr="7C9080CC">
        <w:rPr>
          <w:noProof/>
        </w:rPr>
        <w:t xml:space="preserve"> identified the need for targeted adjustments to funding mechanisms, </w:t>
      </w:r>
      <w:r w:rsidR="42839F02" w:rsidRPr="000F1B41">
        <w:rPr>
          <w:noProof/>
        </w:rPr>
        <w:t>currently subject to the new draft law on the promotion of professional journalism and the democratic discourse,</w:t>
      </w:r>
      <w:r w:rsidR="42839F02" w:rsidRPr="2671D05D">
        <w:rPr>
          <w:noProof/>
          <w:szCs w:val="24"/>
        </w:rPr>
        <w:t xml:space="preserve"> </w:t>
      </w:r>
      <w:r w:rsidRPr="7C9080CC">
        <w:rPr>
          <w:noProof/>
        </w:rPr>
        <w:t xml:space="preserve">including the removal of certain ceilings and the introduction of a </w:t>
      </w:r>
      <w:r w:rsidRPr="00567811">
        <w:rPr>
          <w:noProof/>
        </w:rPr>
        <w:t>de minimis</w:t>
      </w:r>
      <w:r w:rsidRPr="7C9080CC">
        <w:rPr>
          <w:noProof/>
        </w:rPr>
        <w:t xml:space="preserve"> scheme to support smaller and innovative projects</w:t>
      </w:r>
      <w:r w:rsidRPr="7C9080CC">
        <w:rPr>
          <w:rStyle w:val="FootnoteReference"/>
          <w:noProof/>
        </w:rPr>
        <w:footnoteReference w:id="99"/>
      </w:r>
      <w:r w:rsidRPr="7C9080CC">
        <w:rPr>
          <w:noProof/>
        </w:rPr>
        <w:t>. Stakeholders provided an overall positive assessment of the existing scheme, considering it essential for the viability of media outlets in Luxembourg’s small market, which is characterised by a limited number of publishers and readership</w:t>
      </w:r>
      <w:r w:rsidRPr="7C9080CC">
        <w:rPr>
          <w:rStyle w:val="FootnoteReference"/>
          <w:noProof/>
        </w:rPr>
        <w:footnoteReference w:id="100"/>
      </w:r>
      <w:r w:rsidRPr="7C9080CC">
        <w:rPr>
          <w:noProof/>
        </w:rPr>
        <w:t xml:space="preserve">. </w:t>
      </w:r>
      <w:r>
        <w:rPr>
          <w:noProof/>
        </w:rPr>
        <w:t>W</w:t>
      </w:r>
      <w:r w:rsidRPr="7C9080CC">
        <w:rPr>
          <w:noProof/>
        </w:rPr>
        <w:t>hile the principle of technological neutrality, introduced in the context of the 2021 reform,</w:t>
      </w:r>
      <w:r w:rsidRPr="7C9080CC">
        <w:rPr>
          <w:b/>
          <w:bCs/>
          <w:noProof/>
        </w:rPr>
        <w:t xml:space="preserve"> </w:t>
      </w:r>
      <w:r w:rsidRPr="7C9080CC">
        <w:rPr>
          <w:noProof/>
        </w:rPr>
        <w:t>ensuring equal treatment of print and online media, is viewed as a major reform, stakeholders noted that it may lead to unequal outcomes in practice due to differing cost structures</w:t>
      </w:r>
      <w:r w:rsidRPr="7C9080CC">
        <w:rPr>
          <w:rStyle w:val="FootnoteReference"/>
          <w:noProof/>
        </w:rPr>
        <w:footnoteReference w:id="101"/>
      </w:r>
      <w:r w:rsidRPr="7C9080CC">
        <w:rPr>
          <w:noProof/>
        </w:rPr>
        <w:t xml:space="preserve">. </w:t>
      </w:r>
      <w:r w:rsidRPr="7C9080CC">
        <w:rPr>
          <w:b/>
          <w:bCs/>
          <w:noProof/>
        </w:rPr>
        <w:t xml:space="preserve"> </w:t>
      </w:r>
    </w:p>
    <w:p w14:paraId="38F71375" w14:textId="34628BCC" w:rsidR="00E53886" w:rsidRPr="00512E39" w:rsidRDefault="00E53886" w:rsidP="00E53886">
      <w:pPr>
        <w:spacing w:after="160"/>
        <w:rPr>
          <w:noProof/>
        </w:rPr>
      </w:pPr>
      <w:r w:rsidRPr="00512E39">
        <w:rPr>
          <w:b/>
          <w:bCs/>
          <w:noProof/>
        </w:rPr>
        <w:t>Radio 100</w:t>
      </w:r>
      <w:r w:rsidR="00F0263A">
        <w:rPr>
          <w:b/>
          <w:bCs/>
          <w:noProof/>
        </w:rPr>
        <w:t>,</w:t>
      </w:r>
      <w:r w:rsidRPr="00512E39">
        <w:rPr>
          <w:b/>
          <w:bCs/>
          <w:noProof/>
        </w:rPr>
        <w:t xml:space="preserve">7, Luxembourg’s public service broadcaster, continues to operate independently. </w:t>
      </w:r>
      <w:r>
        <w:rPr>
          <w:noProof/>
        </w:rPr>
        <w:t>A</w:t>
      </w:r>
      <w:r w:rsidRPr="00512E39">
        <w:rPr>
          <w:noProof/>
        </w:rPr>
        <w:t xml:space="preserve">n explicit legal framework defining public service missions </w:t>
      </w:r>
      <w:r>
        <w:rPr>
          <w:noProof/>
        </w:rPr>
        <w:t xml:space="preserve">is envisaged </w:t>
      </w:r>
      <w:r w:rsidRPr="00512E39">
        <w:rPr>
          <w:noProof/>
        </w:rPr>
        <w:t>under the media reform, which proposes to introduce for the first time a structured framework for public service missions entrusted by the State</w:t>
      </w:r>
      <w:r w:rsidRPr="2671D05D">
        <w:rPr>
          <w:rStyle w:val="FootnoteReference"/>
          <w:rFonts w:eastAsiaTheme="minorEastAsia"/>
          <w:noProof/>
        </w:rPr>
        <w:footnoteReference w:id="102"/>
      </w:r>
      <w:r w:rsidRPr="00512E39">
        <w:rPr>
          <w:noProof/>
        </w:rPr>
        <w:t>. This provision is intended to strengthen the recognition of public service media and signals a reinforced commitment by the State to ensuring the sustainability of public service media and their missions</w:t>
      </w:r>
      <w:r w:rsidRPr="00512E39">
        <w:rPr>
          <w:rStyle w:val="FootnoteReference"/>
          <w:noProof/>
        </w:rPr>
        <w:footnoteReference w:id="103"/>
      </w:r>
      <w:r w:rsidRPr="00512E39">
        <w:rPr>
          <w:noProof/>
        </w:rPr>
        <w:t xml:space="preserve">. In parallel, a reassessment of the </w:t>
      </w:r>
      <w:r w:rsidR="6B37A60C" w:rsidRPr="00512E39">
        <w:rPr>
          <w:noProof/>
        </w:rPr>
        <w:t xml:space="preserve">linguistic offer </w:t>
      </w:r>
      <w:r w:rsidRPr="00512E39">
        <w:rPr>
          <w:noProof/>
        </w:rPr>
        <w:t>of Radio 100</w:t>
      </w:r>
      <w:r w:rsidR="00F0263A">
        <w:rPr>
          <w:noProof/>
        </w:rPr>
        <w:t>,</w:t>
      </w:r>
      <w:r w:rsidRPr="00512E39">
        <w:rPr>
          <w:noProof/>
        </w:rPr>
        <w:t xml:space="preserve">7 is </w:t>
      </w:r>
      <w:r w:rsidR="56E583CE" w:rsidRPr="00512E39">
        <w:rPr>
          <w:noProof/>
        </w:rPr>
        <w:t>taking place</w:t>
      </w:r>
      <w:r w:rsidRPr="00512E39">
        <w:rPr>
          <w:noProof/>
        </w:rPr>
        <w:t xml:space="preserve">, </w:t>
      </w:r>
      <w:r w:rsidR="71A94246" w:rsidRPr="00512E39">
        <w:rPr>
          <w:noProof/>
        </w:rPr>
        <w:t>as foreseen in the multiannual agreement between the State and the Radio (2024-2030)</w:t>
      </w:r>
      <w:r w:rsidR="00840704">
        <w:rPr>
          <w:rStyle w:val="FootnoteReference"/>
          <w:noProof/>
        </w:rPr>
        <w:footnoteReference w:id="104"/>
      </w:r>
      <w:r w:rsidR="71A94246" w:rsidRPr="00512E39">
        <w:rPr>
          <w:noProof/>
        </w:rPr>
        <w:t xml:space="preserve">, </w:t>
      </w:r>
      <w:r w:rsidRPr="00512E39">
        <w:rPr>
          <w:noProof/>
        </w:rPr>
        <w:t>and a proposal has recently been submitted to the Government. It aims to expand English-language content, reach younger audiences and develop podcast offerings</w:t>
      </w:r>
      <w:r w:rsidR="3B4CED8C" w:rsidRPr="00512E39">
        <w:rPr>
          <w:noProof/>
        </w:rPr>
        <w:t xml:space="preserve"> in English</w:t>
      </w:r>
      <w:r w:rsidRPr="00512E39">
        <w:rPr>
          <w:noProof/>
        </w:rPr>
        <w:t>. Radio 100</w:t>
      </w:r>
      <w:r w:rsidR="00F0263A">
        <w:rPr>
          <w:noProof/>
        </w:rPr>
        <w:t>,</w:t>
      </w:r>
      <w:r w:rsidRPr="00512E39">
        <w:rPr>
          <w:noProof/>
        </w:rPr>
        <w:t>7 indicated that the implementation of these objectives will depend on the availability of additional fu</w:t>
      </w:r>
      <w:r w:rsidRPr="005B3BF2">
        <w:rPr>
          <w:noProof/>
        </w:rPr>
        <w:t>nding</w:t>
      </w:r>
      <w:r w:rsidRPr="2671D05D">
        <w:rPr>
          <w:rStyle w:val="FootnoteReference"/>
          <w:rFonts w:asciiTheme="minorHAnsi" w:eastAsiaTheme="minorEastAsia" w:hAnsiTheme="minorHAnsi"/>
          <w:noProof/>
        </w:rPr>
        <w:footnoteReference w:id="105"/>
      </w:r>
      <w:r w:rsidRPr="005B3BF2">
        <w:rPr>
          <w:noProof/>
        </w:rPr>
        <w:t xml:space="preserve">. </w:t>
      </w:r>
      <w:r w:rsidRPr="00933766">
        <w:rPr>
          <w:noProof/>
          <w:color w:val="000000" w:themeColor="text1"/>
        </w:rPr>
        <w:t>According to the Media Pluralism Monitor 2026, the e</w:t>
      </w:r>
      <w:r w:rsidRPr="00933766">
        <w:rPr>
          <w:noProof/>
        </w:rPr>
        <w:t>ditorial autonomy and political independence of public service media remain at low and very low risk, respectively</w:t>
      </w:r>
      <w:r w:rsidRPr="00933766">
        <w:rPr>
          <w:rStyle w:val="FootnoteReference"/>
          <w:noProof/>
        </w:rPr>
        <w:footnoteReference w:id="106"/>
      </w:r>
      <w:r w:rsidRPr="00933766">
        <w:rPr>
          <w:noProof/>
        </w:rPr>
        <w:t>.</w:t>
      </w:r>
    </w:p>
    <w:p w14:paraId="79B25447" w14:textId="328C0923" w:rsidR="00E53886" w:rsidRPr="00512E39" w:rsidRDefault="00E53886" w:rsidP="2671D05D">
      <w:pPr>
        <w:rPr>
          <w:noProof/>
        </w:rPr>
      </w:pPr>
      <w:r w:rsidRPr="00512E39">
        <w:rPr>
          <w:b/>
          <w:bCs/>
          <w:noProof/>
        </w:rPr>
        <w:t>Some further progress was made on the recommendation to complete the reform of the legal framework for the disclosure of official documents, taking into account European standards on access to official documents</w:t>
      </w:r>
      <w:r w:rsidRPr="00512E39">
        <w:rPr>
          <w:rStyle w:val="FootnoteReference"/>
          <w:b/>
          <w:bCs/>
          <w:noProof/>
        </w:rPr>
        <w:footnoteReference w:id="107"/>
      </w:r>
      <w:r w:rsidRPr="00512E39">
        <w:rPr>
          <w:b/>
          <w:bCs/>
          <w:noProof/>
        </w:rPr>
        <w:t xml:space="preserve">. </w:t>
      </w:r>
      <w:r w:rsidRPr="00512E39">
        <w:rPr>
          <w:noProof/>
        </w:rPr>
        <w:t>Work on the reform of the legal framework governing access to official documents continued throughout 2025 and is considered by stakeholders to be moving in the right direction</w:t>
      </w:r>
      <w:r w:rsidRPr="00512E39">
        <w:rPr>
          <w:b/>
          <w:bCs/>
          <w:noProof/>
        </w:rPr>
        <w:t>.</w:t>
      </w:r>
      <w:r w:rsidRPr="00512E39">
        <w:rPr>
          <w:noProof/>
        </w:rPr>
        <w:t xml:space="preserve"> Following the submission of a draft law in July 2024 introducing a specific right of access to information for journalists, legislative work progressed in 2025 with amendments aimed at clarifying and strengthening the framework. The draft remains under discussion</w:t>
      </w:r>
      <w:r w:rsidRPr="00C02915">
        <w:rPr>
          <w:noProof/>
        </w:rPr>
        <w:t xml:space="preserve">, with further amendments adopted and an additional opinion issued by the Council of State </w:t>
      </w:r>
      <w:r>
        <w:rPr>
          <w:noProof/>
        </w:rPr>
        <w:t>in</w:t>
      </w:r>
      <w:r w:rsidRPr="00C02915">
        <w:rPr>
          <w:noProof/>
        </w:rPr>
        <w:t xml:space="preserve"> February 2026, followed by a new series of parliamentary amendments adopted in May 2026.</w:t>
      </w:r>
      <w:r w:rsidRPr="00512E39">
        <w:rPr>
          <w:noProof/>
        </w:rPr>
        <w:t xml:space="preserve">The draft law introduces a clearer definition of “document”, an obligation for public bodies to assist applicants and </w:t>
      </w:r>
      <w:r>
        <w:rPr>
          <w:noProof/>
        </w:rPr>
        <w:t xml:space="preserve">includes </w:t>
      </w:r>
      <w:r w:rsidRPr="00512E39">
        <w:rPr>
          <w:noProof/>
        </w:rPr>
        <w:t xml:space="preserve">enhanced procedural guarantees, such as the acknowledgement of receipt of requests and indication of processing timelines. At the same time, certain elements of the initial proposal, notably specific provisions introducing a specific right of access to information for journalists, granting them priority in the handling of requests, were revised following concerns </w:t>
      </w:r>
      <w:r w:rsidR="5FD3ADF2" w:rsidRPr="000F1B41">
        <w:rPr>
          <w:noProof/>
        </w:rPr>
        <w:t>by the Council of</w:t>
      </w:r>
      <w:r w:rsidR="0EAC1B00" w:rsidRPr="000F1B41">
        <w:rPr>
          <w:noProof/>
        </w:rPr>
        <w:t xml:space="preserve"> State</w:t>
      </w:r>
      <w:r w:rsidR="5FD3ADF2" w:rsidRPr="000F1B41">
        <w:rPr>
          <w:noProof/>
        </w:rPr>
        <w:t xml:space="preserve"> </w:t>
      </w:r>
      <w:r w:rsidRPr="00512E39">
        <w:rPr>
          <w:noProof/>
        </w:rPr>
        <w:t>regarding their compatibility with European case-law</w:t>
      </w:r>
      <w:r w:rsidRPr="00512E39">
        <w:rPr>
          <w:rStyle w:val="FootnoteReference"/>
          <w:noProof/>
        </w:rPr>
        <w:footnoteReference w:id="108"/>
      </w:r>
      <w:r w:rsidRPr="00512E39">
        <w:rPr>
          <w:noProof/>
        </w:rPr>
        <w:t>. Stakeholders generally consider the reform a step in the right direction. While the introduction of deadlines and indicative timelines partially addresses a key demand of journalists, stakeholders consider that these remain insufficiently precise and continue to raise concerns regarding their practical application.</w:t>
      </w:r>
      <w:r w:rsidRPr="00512E39">
        <w:rPr>
          <w:rStyle w:val="FootnoteReference"/>
          <w:noProof/>
        </w:rPr>
        <w:footnoteReference w:id="109"/>
      </w:r>
      <w:r w:rsidRPr="00512E39">
        <w:rPr>
          <w:noProof/>
        </w:rPr>
        <w:t xml:space="preserve"> In this context, some further progress on the recommendation of the 2025 Rule of Law Report has been made.</w:t>
      </w:r>
    </w:p>
    <w:p w14:paraId="495833C2" w14:textId="6F6D6113" w:rsidR="00E53886" w:rsidRPr="00512E39" w:rsidRDefault="00E53886" w:rsidP="00F757E6">
      <w:pPr>
        <w:rPr>
          <w:noProof/>
        </w:rPr>
      </w:pPr>
      <w:r w:rsidRPr="00512E39">
        <w:rPr>
          <w:b/>
          <w:bCs/>
          <w:noProof/>
        </w:rPr>
        <w:t>The Government has taken steps to strengthen the protection of journalists, notably through the National Action Plan on the Safety of Journalists (2025–2028)</w:t>
      </w:r>
      <w:r w:rsidRPr="00512E39">
        <w:rPr>
          <w:noProof/>
        </w:rPr>
        <w:t>. The National Action Plan</w:t>
      </w:r>
      <w:r>
        <w:rPr>
          <w:rStyle w:val="FootnoteReference"/>
          <w:noProof/>
        </w:rPr>
        <w:footnoteReference w:id="110"/>
      </w:r>
      <w:r w:rsidRPr="063AE88E">
        <w:rPr>
          <w:noProof/>
        </w:rPr>
        <w:t xml:space="preserve">, </w:t>
      </w:r>
      <w:r>
        <w:rPr>
          <w:noProof/>
        </w:rPr>
        <w:t>presented in April 2025</w:t>
      </w:r>
      <w:r w:rsidRPr="063AE88E">
        <w:rPr>
          <w:noProof/>
        </w:rPr>
        <w:t>,</w:t>
      </w:r>
      <w:r>
        <w:rPr>
          <w:noProof/>
        </w:rPr>
        <w:t xml:space="preserve"> </w:t>
      </w:r>
      <w:r w:rsidRPr="063AE88E">
        <w:rPr>
          <w:noProof/>
        </w:rPr>
        <w:t xml:space="preserve">is </w:t>
      </w:r>
      <w:r w:rsidRPr="063AE88E">
        <w:rPr>
          <w:noProof/>
          <w:lang w:val="en-IE"/>
        </w:rPr>
        <w:t xml:space="preserve">structured around four pillars: prevention, protection, prosecution, and awareness. It was prepared </w:t>
      </w:r>
      <w:r w:rsidRPr="063AE88E">
        <w:rPr>
          <w:noProof/>
        </w:rPr>
        <w:t xml:space="preserve">through a </w:t>
      </w:r>
      <w:r w:rsidR="697122DA" w:rsidRPr="063AE88E">
        <w:rPr>
          <w:noProof/>
        </w:rPr>
        <w:t xml:space="preserve">process </w:t>
      </w:r>
      <w:r w:rsidRPr="063AE88E">
        <w:rPr>
          <w:noProof/>
        </w:rPr>
        <w:t xml:space="preserve">coordinated </w:t>
      </w:r>
      <w:r w:rsidR="08003DF4" w:rsidRPr="063AE88E">
        <w:rPr>
          <w:noProof/>
        </w:rPr>
        <w:t xml:space="preserve">by the </w:t>
      </w:r>
      <w:r w:rsidR="08003DF4" w:rsidRPr="00567811">
        <w:rPr>
          <w:noProof/>
          <w:lang w:val="en-IE"/>
        </w:rPr>
        <w:t>Department of Media, Connectivity and Digital Policy</w:t>
      </w:r>
      <w:r w:rsidR="2B300607" w:rsidRPr="00567811">
        <w:rPr>
          <w:noProof/>
          <w:lang w:val="en-IE"/>
        </w:rPr>
        <w:t>,</w:t>
      </w:r>
      <w:r w:rsidR="08003DF4" w:rsidRPr="00567811">
        <w:rPr>
          <w:noProof/>
          <w:lang w:val="en-IE"/>
        </w:rPr>
        <w:t xml:space="preserve"> </w:t>
      </w:r>
      <w:r w:rsidRPr="00567811">
        <w:rPr>
          <w:noProof/>
          <w:lang w:val="en-IE"/>
        </w:rPr>
        <w:t>involving several institutional act</w:t>
      </w:r>
      <w:r w:rsidRPr="063AE88E">
        <w:rPr>
          <w:noProof/>
        </w:rPr>
        <w:t>ors</w:t>
      </w:r>
      <w:r>
        <w:rPr>
          <w:rStyle w:val="FootnoteReference"/>
          <w:noProof/>
        </w:rPr>
        <w:footnoteReference w:id="111"/>
      </w:r>
      <w:r w:rsidRPr="063AE88E">
        <w:rPr>
          <w:noProof/>
        </w:rPr>
        <w:t>.</w:t>
      </w:r>
      <w:r w:rsidRPr="00512E39">
        <w:rPr>
          <w:noProof/>
        </w:rPr>
        <w:t>Stakeholders highlighted growing concerns regarding Strategic Lawsuits Against Public Participation (SLAPPs), noting an increase in such cases in recent years and the need to ensure adapted protection, including in domestic cases. Stakeholders place particular emphasis on improving training and awareness among judges and legal practitioners to better identify</w:t>
      </w:r>
      <w:r>
        <w:rPr>
          <w:noProof/>
        </w:rPr>
        <w:t xml:space="preserve"> </w:t>
      </w:r>
      <w:r w:rsidRPr="00512E39">
        <w:rPr>
          <w:noProof/>
        </w:rPr>
        <w:t>and address SLAPP cases in prac</w:t>
      </w:r>
      <w:r w:rsidRPr="005B3BF2">
        <w:rPr>
          <w:noProof/>
        </w:rPr>
        <w:t>tice</w:t>
      </w:r>
      <w:r w:rsidRPr="005B3BF2">
        <w:rPr>
          <w:rStyle w:val="FootnoteReference"/>
          <w:noProof/>
        </w:rPr>
        <w:footnoteReference w:id="112"/>
      </w:r>
      <w:r w:rsidRPr="005B3BF2">
        <w:rPr>
          <w:noProof/>
        </w:rPr>
        <w:t xml:space="preserve"> </w:t>
      </w:r>
      <w:r w:rsidRPr="00933766">
        <w:rPr>
          <w:noProof/>
        </w:rPr>
        <w:t>. Work on the transposition of the Anti-SLAPP Directive is ongoing</w:t>
      </w:r>
      <w:r w:rsidRPr="063AE88E">
        <w:rPr>
          <w:noProof/>
        </w:rPr>
        <w:t xml:space="preserve">. The Government adopted a </w:t>
      </w:r>
      <w:r>
        <w:rPr>
          <w:noProof/>
        </w:rPr>
        <w:t>draft law on 9 January 2026, which covers both cross-border and domestic cases. The draft law was tabled in Parliament on 29 January 2026 and is pending the Council of State’s opinion</w:t>
      </w:r>
      <w:r>
        <w:rPr>
          <w:rStyle w:val="FootnoteReference"/>
          <w:noProof/>
        </w:rPr>
        <w:footnoteReference w:id="113"/>
      </w:r>
      <w:r>
        <w:rPr>
          <w:noProof/>
        </w:rPr>
        <w:t xml:space="preserve">. </w:t>
      </w:r>
      <w:r w:rsidRPr="00933766">
        <w:rPr>
          <w:noProof/>
        </w:rPr>
        <w:t>Since the 2025 Rule of Law Report, no new alerts have been recorded on the Council of Europe’s Platform to promote the protection of journalism and safety of journalists, and the Media Freedom Rapid Response mechanism has not identified any alerts either</w:t>
      </w:r>
      <w:r w:rsidRPr="00933766">
        <w:rPr>
          <w:rStyle w:val="FootnoteReference"/>
          <w:noProof/>
        </w:rPr>
        <w:footnoteReference w:id="114"/>
      </w:r>
      <w:r w:rsidRPr="00933766">
        <w:rPr>
          <w:noProof/>
        </w:rPr>
        <w:t>.</w:t>
      </w:r>
    </w:p>
    <w:p w14:paraId="57C67F01" w14:textId="77777777" w:rsidR="00E53886" w:rsidRPr="00BA67FB" w:rsidRDefault="00E53886" w:rsidP="00E17E28">
      <w:pPr>
        <w:pStyle w:val="Heading1"/>
        <w:numPr>
          <w:ilvl w:val="0"/>
          <w:numId w:val="40"/>
        </w:numPr>
        <w:spacing w:before="0"/>
        <w:rPr>
          <w:noProof/>
          <w:u w:val="single"/>
        </w:rPr>
      </w:pPr>
      <w:r w:rsidRPr="00BA67FB">
        <w:rPr>
          <w:noProof/>
          <w:u w:val="single"/>
        </w:rPr>
        <w:t>Other Institutional Issues related to Checks and Balances</w:t>
      </w:r>
    </w:p>
    <w:p w14:paraId="750327EB" w14:textId="77777777" w:rsidR="00E53886" w:rsidRPr="00973061" w:rsidRDefault="00E53886" w:rsidP="00E53886">
      <w:pPr>
        <w:rPr>
          <w:bCs/>
          <w:noProof/>
          <w:lang w:eastAsia="fr-FR"/>
        </w:rPr>
      </w:pPr>
      <w:r w:rsidRPr="00973061">
        <w:rPr>
          <w:b/>
          <w:bCs/>
          <w:noProof/>
          <w:lang w:eastAsia="fr-FR"/>
        </w:rPr>
        <w:t xml:space="preserve">Stakeholder consultations are generally considered effective in practice. </w:t>
      </w:r>
      <w:r w:rsidRPr="00973061">
        <w:rPr>
          <w:noProof/>
          <w:lang w:eastAsia="fr-FR"/>
        </w:rPr>
        <w:t>Public consultations in the development of primary laws and subordinate regulations are mainly channelled through formal consultations with professional groups, and with open consultations on the websites of the Official Journal and the Parliament</w:t>
      </w:r>
      <w:r w:rsidRPr="00973061">
        <w:rPr>
          <w:rStyle w:val="FootnoteReference"/>
          <w:noProof/>
          <w:lang w:eastAsia="fr-FR"/>
        </w:rPr>
        <w:footnoteReference w:id="115"/>
      </w:r>
      <w:r w:rsidRPr="00973061">
        <w:rPr>
          <w:noProof/>
          <w:lang w:eastAsia="fr-FR"/>
        </w:rPr>
        <w:t>. The Council of State and the National Council for Justice are also regularly consulted and provide their opinions to the Parliament on draft laws, while the Government engages with stakeholders to participate in consultations</w:t>
      </w:r>
      <w:r w:rsidRPr="00973061">
        <w:rPr>
          <w:rStyle w:val="FootnoteReference"/>
          <w:noProof/>
          <w:lang w:eastAsia="fr-FR"/>
        </w:rPr>
        <w:footnoteReference w:id="116"/>
      </w:r>
      <w:r w:rsidRPr="00973061">
        <w:rPr>
          <w:noProof/>
          <w:lang w:eastAsia="fr-FR"/>
        </w:rPr>
        <w:t xml:space="preserve">. Stakeholders raise concerns over a </w:t>
      </w:r>
      <w:r>
        <w:rPr>
          <w:noProof/>
          <w:lang w:eastAsia="fr-FR"/>
        </w:rPr>
        <w:t>reduction in the number of</w:t>
      </w:r>
      <w:r w:rsidRPr="00973061">
        <w:rPr>
          <w:noProof/>
          <w:lang w:eastAsia="fr-FR"/>
        </w:rPr>
        <w:t xml:space="preserve"> consultations with advisory groups or preparatory committees taking place, and the fact that not all input is uploaded to the Parliament’s webpage, a decision that falls under the purview of the relevant ministry</w:t>
      </w:r>
      <w:r w:rsidRPr="00973061">
        <w:rPr>
          <w:rStyle w:val="FootnoteReference"/>
          <w:noProof/>
          <w:lang w:eastAsia="fr-FR"/>
        </w:rPr>
        <w:footnoteReference w:id="117"/>
      </w:r>
      <w:r w:rsidRPr="00973061">
        <w:rPr>
          <w:noProof/>
          <w:lang w:eastAsia="fr-FR"/>
        </w:rPr>
        <w:t>. The Parliament commissioned a report to third party experts to compare its consultation framework with those of other Member States to explore potential reforms to further improve the current rules</w:t>
      </w:r>
      <w:r w:rsidRPr="00973061">
        <w:rPr>
          <w:rStyle w:val="FootnoteReference"/>
          <w:noProof/>
          <w:lang w:eastAsia="fr-FR"/>
        </w:rPr>
        <w:footnoteReference w:id="118"/>
      </w:r>
      <w:r w:rsidRPr="00973061">
        <w:rPr>
          <w:noProof/>
          <w:lang w:eastAsia="fr-FR"/>
        </w:rPr>
        <w:t>.</w:t>
      </w:r>
    </w:p>
    <w:p w14:paraId="151F6B6B" w14:textId="77777777" w:rsidR="00E53886" w:rsidRPr="00147A5D" w:rsidRDefault="00E53886" w:rsidP="00E53886">
      <w:pPr>
        <w:rPr>
          <w:rFonts w:eastAsia="Calibri"/>
          <w:noProof/>
          <w14:ligatures w14:val="standardContextual"/>
        </w:rPr>
      </w:pPr>
      <w:r>
        <w:rPr>
          <w:b/>
          <w:bCs/>
          <w:noProof/>
          <w:lang w:eastAsia="fr-FR"/>
        </w:rPr>
        <w:t>More than two thirds of companies surveyed in Luxembourg express confidence in the effectiveness of investment protection.</w:t>
      </w:r>
      <w:r w:rsidRPr="006C7DCB">
        <w:rPr>
          <w:rFonts w:eastAsia="Calibri"/>
          <w:noProof/>
        </w:rPr>
        <w:t xml:space="preserve"> </w:t>
      </w:r>
      <w:r>
        <w:rPr>
          <w:rFonts w:eastAsia="Calibri"/>
          <w:noProof/>
        </w:rPr>
        <w:t>79</w:t>
      </w:r>
      <w:r w:rsidRPr="006C7DCB">
        <w:rPr>
          <w:rFonts w:eastAsia="Calibri"/>
          <w:noProof/>
        </w:rPr>
        <w:t>% of companies are very or fairly confident that investments are protected by law and courts</w:t>
      </w:r>
      <w:r>
        <w:rPr>
          <w:rFonts w:eastAsia="Calibri"/>
          <w:noProof/>
        </w:rPr>
        <w:t xml:space="preserve">, a figure which has </w:t>
      </w:r>
      <w:r w:rsidDel="00F56674">
        <w:rPr>
          <w:rFonts w:eastAsia="Calibri"/>
          <w:noProof/>
        </w:rPr>
        <w:t xml:space="preserve">significantly </w:t>
      </w:r>
      <w:r>
        <w:rPr>
          <w:rFonts w:eastAsia="Calibri"/>
          <w:noProof/>
        </w:rPr>
        <w:t>decreased in comparison with 2025 (89%)</w:t>
      </w:r>
      <w:r w:rsidRPr="006C7DCB">
        <w:rPr>
          <w:rFonts w:eastAsia="Calibri"/>
          <w:noProof/>
          <w:vertAlign w:val="superscript"/>
        </w:rPr>
        <w:footnoteReference w:id="119"/>
      </w:r>
      <w:r w:rsidRPr="006C7DCB">
        <w:rPr>
          <w:rFonts w:eastAsia="Calibri"/>
          <w:noProof/>
        </w:rPr>
        <w:t xml:space="preserve">. As regards authorities relevant for economic operators, </w:t>
      </w:r>
      <w:r>
        <w:rPr>
          <w:rFonts w:eastAsia="Calibri"/>
          <w:noProof/>
        </w:rPr>
        <w:t>72</w:t>
      </w:r>
      <w:r w:rsidRPr="006C7DCB">
        <w:rPr>
          <w:rFonts w:eastAsia="Calibri"/>
          <w:noProof/>
        </w:rPr>
        <w:t>% perceive the level of independence of the national competition authority (</w:t>
      </w:r>
      <w:r w:rsidRPr="006C7DCB">
        <w:rPr>
          <w:noProof/>
          <w:lang w:eastAsia="en-IE"/>
        </w:rPr>
        <w:t>Competition Authority</w:t>
      </w:r>
      <w:r w:rsidRPr="006C7DCB">
        <w:rPr>
          <w:rFonts w:eastAsia="Calibri"/>
          <w:noProof/>
        </w:rPr>
        <w:t>) as very or fairly good</w:t>
      </w:r>
      <w:r>
        <w:rPr>
          <w:rFonts w:eastAsia="Calibri"/>
          <w:noProof/>
          <w:lang w:val="bg-BG"/>
        </w:rPr>
        <w:t xml:space="preserve">, </w:t>
      </w:r>
      <w:r>
        <w:rPr>
          <w:rFonts w:eastAsia="Calibri"/>
          <w:noProof/>
          <w:lang w:val="en-IE"/>
        </w:rPr>
        <w:t>a figure which has decreased in comparison with 2025 (77%)</w:t>
      </w:r>
      <w:r w:rsidRPr="006C7DCB">
        <w:rPr>
          <w:rFonts w:eastAsia="Calibri"/>
          <w:noProof/>
          <w:vertAlign w:val="superscript"/>
        </w:rPr>
        <w:footnoteReference w:id="120"/>
      </w:r>
      <w:r>
        <w:rPr>
          <w:rFonts w:eastAsia="Calibri"/>
          <w:noProof/>
          <w:lang w:val="en-IE"/>
        </w:rPr>
        <w:t>.</w:t>
      </w:r>
      <w:r w:rsidRPr="006C7DCB">
        <w:rPr>
          <w:rFonts w:eastAsia="Calibri"/>
          <w:noProof/>
        </w:rPr>
        <w:t xml:space="preserve"> </w:t>
      </w:r>
      <w:r w:rsidRPr="00B060ED">
        <w:rPr>
          <w:rFonts w:eastAsia="Calibri"/>
          <w:noProof/>
          <w14:ligatures w14:val="standardContextual"/>
        </w:rPr>
        <w:t xml:space="preserve">The Council of State has jurisdiction in </w:t>
      </w:r>
      <w:r w:rsidRPr="00037FB1">
        <w:rPr>
          <w:rFonts w:eastAsia="Calibri"/>
          <w:noProof/>
          <w14:ligatures w14:val="standardContextual"/>
        </w:rPr>
        <w:t>some</w:t>
      </w:r>
      <w:r w:rsidRPr="00B060ED">
        <w:rPr>
          <w:rFonts w:eastAsia="Calibri"/>
          <w:noProof/>
          <w14:ligatures w14:val="standardContextual"/>
        </w:rPr>
        <w:t xml:space="preserve"> business-related cases, including in cases related to </w:t>
      </w:r>
      <w:r w:rsidRPr="00037FB1">
        <w:rPr>
          <w:rFonts w:eastAsia="Calibri"/>
          <w:noProof/>
          <w14:ligatures w14:val="standardContextual"/>
        </w:rPr>
        <w:t>public procurement, public concessions and economic regulation</w:t>
      </w:r>
      <w:r w:rsidRPr="00B060ED">
        <w:rPr>
          <w:rFonts w:eastAsia="Calibri"/>
          <w:noProof/>
          <w14:ligatures w14:val="standardContextual"/>
        </w:rPr>
        <w:t xml:space="preserve">. A number of judicial mechanisms to improve efficiency are available in these cases, including </w:t>
      </w:r>
      <w:r w:rsidRPr="00037FB1">
        <w:rPr>
          <w:rFonts w:eastAsia="Calibri"/>
          <w:noProof/>
          <w14:ligatures w14:val="standardContextual"/>
        </w:rPr>
        <w:t>the possibility of joint examination of similar cases and the consolidation of multiple appeals</w:t>
      </w:r>
      <w:r w:rsidRPr="00037FB1">
        <w:rPr>
          <w:rStyle w:val="FootnoteReference"/>
          <w:rFonts w:eastAsia="Calibri"/>
          <w:noProof/>
          <w14:ligatures w14:val="standardContextual"/>
        </w:rPr>
        <w:footnoteReference w:id="121"/>
      </w:r>
      <w:r w:rsidRPr="00B060ED">
        <w:rPr>
          <w:rFonts w:eastAsia="Calibri"/>
          <w:noProof/>
          <w14:ligatures w14:val="standardContextual"/>
        </w:rPr>
        <w:t>.</w:t>
      </w:r>
    </w:p>
    <w:p w14:paraId="7168A3E3" w14:textId="521EA49D" w:rsidR="00E53886" w:rsidRPr="0070440A" w:rsidRDefault="00E53886" w:rsidP="00E53886">
      <w:pPr>
        <w:rPr>
          <w:b/>
          <w:bCs/>
          <w:noProof/>
          <w:lang w:val="en-IE"/>
        </w:rPr>
      </w:pPr>
      <w:r w:rsidRPr="0070440A">
        <w:rPr>
          <w:b/>
          <w:bCs/>
          <w:noProof/>
          <w:lang w:val="en-IE"/>
        </w:rPr>
        <w:t xml:space="preserve">On 1 January </w:t>
      </w:r>
      <w:r>
        <w:rPr>
          <w:b/>
          <w:bCs/>
          <w:noProof/>
          <w:lang w:val="en-IE"/>
        </w:rPr>
        <w:t>2026</w:t>
      </w:r>
      <w:r w:rsidRPr="0070440A">
        <w:rPr>
          <w:b/>
          <w:bCs/>
          <w:noProof/>
          <w:lang w:val="en-IE"/>
        </w:rPr>
        <w:t xml:space="preserve">, </w:t>
      </w:r>
      <w:r w:rsidRPr="000915BB">
        <w:rPr>
          <w:b/>
          <w:bCs/>
          <w:noProof/>
          <w:lang w:val="en-IE"/>
        </w:rPr>
        <w:t xml:space="preserve">Luxembourg had </w:t>
      </w:r>
      <w:r w:rsidR="00E02924">
        <w:rPr>
          <w:b/>
          <w:bCs/>
          <w:noProof/>
          <w:lang w:val="en-IE"/>
        </w:rPr>
        <w:t>3</w:t>
      </w:r>
      <w:r w:rsidR="00E02924" w:rsidRPr="000915BB">
        <w:rPr>
          <w:b/>
          <w:bCs/>
          <w:noProof/>
          <w:lang w:val="en-IE"/>
        </w:rPr>
        <w:t xml:space="preserve"> </w:t>
      </w:r>
      <w:r w:rsidRPr="000915BB">
        <w:rPr>
          <w:b/>
          <w:bCs/>
          <w:noProof/>
          <w:lang w:val="en-IE"/>
        </w:rPr>
        <w:t xml:space="preserve">leading judgments of the European Court of Human Rights pending implementation, a </w:t>
      </w:r>
      <w:r w:rsidR="00CD6F95">
        <w:rPr>
          <w:b/>
          <w:bCs/>
          <w:noProof/>
          <w:lang w:val="en-IE"/>
        </w:rPr>
        <w:t>de</w:t>
      </w:r>
      <w:r w:rsidRPr="000915BB">
        <w:rPr>
          <w:b/>
          <w:bCs/>
          <w:noProof/>
          <w:lang w:val="en-IE"/>
        </w:rPr>
        <w:t xml:space="preserve">crease of </w:t>
      </w:r>
      <w:r w:rsidR="00E02924">
        <w:rPr>
          <w:b/>
          <w:bCs/>
          <w:noProof/>
          <w:lang w:val="en-IE"/>
        </w:rPr>
        <w:t xml:space="preserve">1 </w:t>
      </w:r>
      <w:r w:rsidRPr="000915BB">
        <w:rPr>
          <w:b/>
          <w:bCs/>
          <w:noProof/>
          <w:lang w:val="en-IE"/>
        </w:rPr>
        <w:t>compared to the previous year</w:t>
      </w:r>
      <w:r w:rsidRPr="000915BB">
        <w:rPr>
          <w:rStyle w:val="FootnoteReference"/>
          <w:b/>
          <w:bCs/>
          <w:noProof/>
        </w:rPr>
        <w:footnoteReference w:id="122"/>
      </w:r>
      <w:r w:rsidRPr="000915BB">
        <w:rPr>
          <w:b/>
          <w:bCs/>
          <w:noProof/>
          <w:lang w:val="en-IE"/>
        </w:rPr>
        <w:t xml:space="preserve">. </w:t>
      </w:r>
      <w:r w:rsidRPr="000915BB">
        <w:rPr>
          <w:noProof/>
          <w:lang w:val="en-IE"/>
        </w:rPr>
        <w:t xml:space="preserve">At that time, Luxembourg’s rate of leading judgments from the past </w:t>
      </w:r>
      <w:r>
        <w:rPr>
          <w:noProof/>
          <w:lang w:val="en-IE"/>
        </w:rPr>
        <w:t>10</w:t>
      </w:r>
      <w:r w:rsidRPr="000915BB">
        <w:rPr>
          <w:noProof/>
          <w:lang w:val="en-IE"/>
        </w:rPr>
        <w:t xml:space="preserve"> </w:t>
      </w:r>
      <w:r w:rsidRPr="00CE1F16">
        <w:rPr>
          <w:noProof/>
          <w:lang w:val="en-IE"/>
        </w:rPr>
        <w:t xml:space="preserve">years that </w:t>
      </w:r>
      <w:r>
        <w:rPr>
          <w:noProof/>
          <w:lang w:val="en-IE"/>
        </w:rPr>
        <w:t>had been implemented was at 50</w:t>
      </w:r>
      <w:r w:rsidRPr="00CE1F16">
        <w:rPr>
          <w:noProof/>
          <w:lang w:val="en-IE"/>
        </w:rPr>
        <w:t>% (compared to</w:t>
      </w:r>
      <w:r w:rsidRPr="000915BB">
        <w:rPr>
          <w:noProof/>
          <w:lang w:val="en-IE"/>
        </w:rPr>
        <w:t xml:space="preserve"> </w:t>
      </w:r>
      <w:r>
        <w:rPr>
          <w:noProof/>
          <w:lang w:val="en-IE"/>
        </w:rPr>
        <w:t>33</w:t>
      </w:r>
      <w:r w:rsidRPr="000915BB">
        <w:rPr>
          <w:noProof/>
          <w:lang w:val="en-IE"/>
        </w:rPr>
        <w:t xml:space="preserve">% </w:t>
      </w:r>
      <w:r w:rsidRPr="00823DDA">
        <w:rPr>
          <w:noProof/>
          <w:lang w:val="en-IE"/>
        </w:rPr>
        <w:t>in 2025; 50% remained pending),</w:t>
      </w:r>
      <w:r w:rsidRPr="000915BB">
        <w:rPr>
          <w:noProof/>
          <w:lang w:val="en-IE"/>
        </w:rPr>
        <w:t xml:space="preserve"> and the average time that the judgments had been pending implementation was </w:t>
      </w:r>
      <w:r>
        <w:rPr>
          <w:noProof/>
          <w:lang w:val="en-IE"/>
        </w:rPr>
        <w:t>2</w:t>
      </w:r>
      <w:r w:rsidRPr="000915BB">
        <w:rPr>
          <w:noProof/>
          <w:lang w:val="en-IE"/>
        </w:rPr>
        <w:t xml:space="preserve"> year</w:t>
      </w:r>
      <w:r>
        <w:rPr>
          <w:noProof/>
          <w:lang w:val="en-IE"/>
        </w:rPr>
        <w:t>s</w:t>
      </w:r>
      <w:r w:rsidRPr="000915BB">
        <w:rPr>
          <w:noProof/>
          <w:lang w:val="en-IE"/>
        </w:rPr>
        <w:t xml:space="preserve"> and </w:t>
      </w:r>
      <w:r>
        <w:rPr>
          <w:noProof/>
          <w:lang w:val="en-IE"/>
        </w:rPr>
        <w:t xml:space="preserve">7 </w:t>
      </w:r>
      <w:r w:rsidRPr="000915BB">
        <w:rPr>
          <w:noProof/>
          <w:lang w:val="en-IE"/>
        </w:rPr>
        <w:t xml:space="preserve">months (compared to </w:t>
      </w:r>
      <w:r>
        <w:rPr>
          <w:noProof/>
          <w:lang w:val="en-IE"/>
        </w:rPr>
        <w:t>1</w:t>
      </w:r>
      <w:r w:rsidRPr="000915BB">
        <w:rPr>
          <w:noProof/>
          <w:lang w:val="en-IE"/>
        </w:rPr>
        <w:t xml:space="preserve"> year and </w:t>
      </w:r>
      <w:r>
        <w:rPr>
          <w:noProof/>
          <w:lang w:val="en-IE"/>
        </w:rPr>
        <w:t xml:space="preserve">6 </w:t>
      </w:r>
      <w:r w:rsidRPr="000915BB">
        <w:rPr>
          <w:noProof/>
          <w:lang w:val="en-IE"/>
        </w:rPr>
        <w:t>months in 202</w:t>
      </w:r>
      <w:r w:rsidR="00E077FF">
        <w:rPr>
          <w:noProof/>
          <w:lang w:val="en-IE"/>
        </w:rPr>
        <w:t>5</w:t>
      </w:r>
      <w:r w:rsidRPr="000915BB">
        <w:rPr>
          <w:noProof/>
          <w:lang w:val="en-IE"/>
        </w:rPr>
        <w:t>)</w:t>
      </w:r>
      <w:r w:rsidRPr="000915BB">
        <w:rPr>
          <w:rStyle w:val="FootnoteReference"/>
          <w:noProof/>
        </w:rPr>
        <w:footnoteReference w:id="123"/>
      </w:r>
      <w:r w:rsidRPr="000915BB">
        <w:rPr>
          <w:noProof/>
          <w:lang w:val="en-IE"/>
        </w:rPr>
        <w:t xml:space="preserve">. The oldest </w:t>
      </w:r>
      <w:r w:rsidRPr="00DF0669">
        <w:rPr>
          <w:noProof/>
        </w:rPr>
        <w:t>leading judgment</w:t>
      </w:r>
      <w:r>
        <w:rPr>
          <w:noProof/>
        </w:rPr>
        <w:t xml:space="preserve"> has been</w:t>
      </w:r>
      <w:r w:rsidRPr="00DF0669">
        <w:rPr>
          <w:noProof/>
        </w:rPr>
        <w:t xml:space="preserve"> pending implementation for </w:t>
      </w:r>
      <w:r>
        <w:rPr>
          <w:noProof/>
        </w:rPr>
        <w:t xml:space="preserve">4 </w:t>
      </w:r>
      <w:r w:rsidRPr="00DF0669">
        <w:rPr>
          <w:noProof/>
        </w:rPr>
        <w:t>years</w:t>
      </w:r>
      <w:r w:rsidRPr="00DF0669">
        <w:rPr>
          <w:rStyle w:val="FootnoteReference"/>
          <w:noProof/>
        </w:rPr>
        <w:footnoteReference w:id="124"/>
      </w:r>
      <w:r w:rsidRPr="00DF0669">
        <w:rPr>
          <w:noProof/>
        </w:rPr>
        <w:t>.</w:t>
      </w:r>
      <w:r w:rsidRPr="00DF0669">
        <w:rPr>
          <w:b/>
          <w:noProof/>
        </w:rPr>
        <w:t xml:space="preserve"> </w:t>
      </w:r>
      <w:r w:rsidRPr="00FB77B1">
        <w:rPr>
          <w:noProof/>
        </w:rPr>
        <w:t>As</w:t>
      </w:r>
      <w:r w:rsidRPr="00FB77B1">
        <w:rPr>
          <w:noProof/>
          <w:lang w:val="en-IE"/>
        </w:rPr>
        <w:t xml:space="preserve"> regards the respect of payment deadlines, on 31 December 202</w:t>
      </w:r>
      <w:r>
        <w:rPr>
          <w:noProof/>
          <w:lang w:val="en-IE"/>
        </w:rPr>
        <w:t>5</w:t>
      </w:r>
      <w:r w:rsidRPr="00FB77B1">
        <w:rPr>
          <w:noProof/>
          <w:lang w:val="en-IE"/>
        </w:rPr>
        <w:t xml:space="preserve"> there w</w:t>
      </w:r>
      <w:r>
        <w:rPr>
          <w:noProof/>
          <w:lang w:val="en-IE"/>
        </w:rPr>
        <w:t>ere no c</w:t>
      </w:r>
      <w:r w:rsidRPr="00FB77B1">
        <w:rPr>
          <w:noProof/>
          <w:lang w:val="en-IE"/>
        </w:rPr>
        <w:t>ase</w:t>
      </w:r>
      <w:r>
        <w:rPr>
          <w:noProof/>
          <w:lang w:val="en-IE"/>
        </w:rPr>
        <w:t>s</w:t>
      </w:r>
      <w:r w:rsidRPr="00FB77B1">
        <w:rPr>
          <w:noProof/>
          <w:lang w:val="en-IE"/>
        </w:rPr>
        <w:t xml:space="preserve"> awaiting confirmation of payments (compared to </w:t>
      </w:r>
      <w:r>
        <w:rPr>
          <w:noProof/>
          <w:lang w:val="en-IE"/>
        </w:rPr>
        <w:t>1</w:t>
      </w:r>
      <w:r w:rsidRPr="00FB77B1">
        <w:rPr>
          <w:noProof/>
          <w:lang w:val="en-IE"/>
        </w:rPr>
        <w:t xml:space="preserve"> in 202</w:t>
      </w:r>
      <w:r>
        <w:rPr>
          <w:noProof/>
          <w:lang w:val="en-IE"/>
        </w:rPr>
        <w:t>4</w:t>
      </w:r>
      <w:r w:rsidRPr="00FB77B1">
        <w:rPr>
          <w:noProof/>
          <w:lang w:val="en-IE"/>
        </w:rPr>
        <w:t>)</w:t>
      </w:r>
      <w:r w:rsidRPr="00FB77B1">
        <w:rPr>
          <w:rStyle w:val="FootnoteReference"/>
          <w:noProof/>
        </w:rPr>
        <w:footnoteReference w:id="125"/>
      </w:r>
      <w:r w:rsidRPr="00FB77B1">
        <w:rPr>
          <w:noProof/>
          <w:lang w:val="en-IE"/>
        </w:rPr>
        <w:t>.</w:t>
      </w:r>
      <w:r w:rsidRPr="0070440A">
        <w:rPr>
          <w:b/>
          <w:bCs/>
          <w:noProof/>
          <w:lang w:val="en-IE"/>
        </w:rPr>
        <w:t xml:space="preserve"> </w:t>
      </w:r>
      <w:r>
        <w:rPr>
          <w:noProof/>
          <w:lang w:val="en-IE"/>
        </w:rPr>
        <w:t>By</w:t>
      </w:r>
      <w:r w:rsidRPr="0070440A">
        <w:rPr>
          <w:noProof/>
          <w:lang w:val="en-IE"/>
        </w:rPr>
        <w:t xml:space="preserve"> </w:t>
      </w:r>
      <w:r w:rsidR="00E077FF">
        <w:rPr>
          <w:noProof/>
          <w:lang w:val="en-IE"/>
        </w:rPr>
        <w:t>17</w:t>
      </w:r>
      <w:r>
        <w:rPr>
          <w:noProof/>
          <w:lang w:val="en-IE"/>
        </w:rPr>
        <w:t xml:space="preserve"> June</w:t>
      </w:r>
      <w:r w:rsidRPr="0070440A">
        <w:rPr>
          <w:noProof/>
          <w:lang w:val="en-IE"/>
        </w:rPr>
        <w:t xml:space="preserve"> </w:t>
      </w:r>
      <w:r>
        <w:rPr>
          <w:noProof/>
          <w:lang w:val="en-IE"/>
        </w:rPr>
        <w:t>2026</w:t>
      </w:r>
      <w:r w:rsidRPr="0070440A">
        <w:rPr>
          <w:noProof/>
          <w:lang w:val="en-IE"/>
        </w:rPr>
        <w:t>, the number of leading judgments pending implementation</w:t>
      </w:r>
      <w:r>
        <w:rPr>
          <w:noProof/>
          <w:lang w:val="en-IE"/>
        </w:rPr>
        <w:t xml:space="preserve"> had</w:t>
      </w:r>
      <w:r w:rsidRPr="0070440A">
        <w:rPr>
          <w:noProof/>
          <w:lang w:val="en-IE"/>
        </w:rPr>
        <w:t xml:space="preserve"> </w:t>
      </w:r>
      <w:r>
        <w:rPr>
          <w:noProof/>
          <w:lang w:val="en-IE"/>
        </w:rPr>
        <w:t xml:space="preserve">remained </w:t>
      </w:r>
      <w:r w:rsidR="001B2C78">
        <w:rPr>
          <w:noProof/>
          <w:lang w:val="en-IE"/>
        </w:rPr>
        <w:t xml:space="preserve">at </w:t>
      </w:r>
      <w:r w:rsidR="00F333C7">
        <w:rPr>
          <w:noProof/>
          <w:lang w:val="en-IE"/>
        </w:rPr>
        <w:t>3</w:t>
      </w:r>
      <w:r w:rsidRPr="0070440A">
        <w:rPr>
          <w:rStyle w:val="FootnoteReference"/>
          <w:noProof/>
        </w:rPr>
        <w:footnoteReference w:id="126"/>
      </w:r>
      <w:r w:rsidRPr="0070440A">
        <w:rPr>
          <w:noProof/>
          <w:lang w:val="en-IE"/>
        </w:rPr>
        <w:t>.</w:t>
      </w:r>
      <w:r w:rsidRPr="0070440A">
        <w:rPr>
          <w:b/>
          <w:bCs/>
          <w:noProof/>
          <w:lang w:val="en-IE"/>
        </w:rPr>
        <w:t xml:space="preserve"> </w:t>
      </w:r>
    </w:p>
    <w:p w14:paraId="56642842" w14:textId="77777777" w:rsidR="00E53886" w:rsidRPr="00BE0E75" w:rsidRDefault="00E53886" w:rsidP="00E53886">
      <w:pPr>
        <w:rPr>
          <w:noProof/>
          <w:lang w:eastAsia="fr-FR"/>
        </w:rPr>
      </w:pPr>
      <w:r w:rsidRPr="00973061">
        <w:rPr>
          <w:b/>
          <w:bCs/>
          <w:noProof/>
          <w:lang w:eastAsia="fr-FR"/>
        </w:rPr>
        <w:t xml:space="preserve">The reform to make the Consultative Commission for Human Rights (CCDH) more independent remains pending. </w:t>
      </w:r>
      <w:r w:rsidRPr="00933766">
        <w:rPr>
          <w:noProof/>
          <w:lang w:eastAsia="fr-FR"/>
        </w:rPr>
        <w:t xml:space="preserve">The CCDH </w:t>
      </w:r>
      <w:r w:rsidRPr="000072F6">
        <w:rPr>
          <w:noProof/>
          <w:lang w:eastAsia="fr-FR"/>
        </w:rPr>
        <w:t>is the national human rights institution, accredited with A status by the UN Global Alliance of National Human Rights Institutions (GANHRI).</w:t>
      </w:r>
      <w:r>
        <w:rPr>
          <w:noProof/>
          <w:lang w:eastAsia="fr-FR"/>
        </w:rPr>
        <w:t xml:space="preserve"> </w:t>
      </w:r>
      <w:r w:rsidRPr="00973061">
        <w:rPr>
          <w:noProof/>
          <w:lang w:eastAsia="fr-FR"/>
        </w:rPr>
        <w:t>As previously reported, this reform seeks to increase the financial and operational independence of the CCDH by attaching it to the Parliament instead of the Ministry of State, as is currently the case</w:t>
      </w:r>
      <w:r w:rsidRPr="00973061">
        <w:rPr>
          <w:rStyle w:val="FootnoteReference"/>
          <w:noProof/>
          <w:lang w:eastAsia="fr-FR"/>
        </w:rPr>
        <w:footnoteReference w:id="127"/>
      </w:r>
      <w:r w:rsidRPr="00973061">
        <w:rPr>
          <w:noProof/>
          <w:lang w:eastAsia="fr-FR"/>
        </w:rPr>
        <w:t>. The CCDH made recommendations on several elements of the draft law, including on selection procedures for its staff</w:t>
      </w:r>
      <w:r w:rsidRPr="00973061">
        <w:rPr>
          <w:rStyle w:val="FootnoteReference"/>
          <w:noProof/>
          <w:lang w:eastAsia="fr-FR"/>
        </w:rPr>
        <w:footnoteReference w:id="128"/>
      </w:r>
      <w:r w:rsidRPr="00973061">
        <w:rPr>
          <w:noProof/>
          <w:lang w:eastAsia="fr-FR"/>
        </w:rPr>
        <w:t xml:space="preserve"> and the Parliament adopted a resolution calling for the new law to make the CCDH President’s role full-time</w:t>
      </w:r>
      <w:r w:rsidRPr="00973061">
        <w:rPr>
          <w:rStyle w:val="FootnoteReference"/>
          <w:noProof/>
          <w:lang w:eastAsia="fr-FR"/>
        </w:rPr>
        <w:footnoteReference w:id="129"/>
      </w:r>
      <w:r w:rsidRPr="00973061">
        <w:rPr>
          <w:noProof/>
          <w:lang w:eastAsia="fr-FR"/>
        </w:rPr>
        <w:t>. While its outline remains subject to debate in Parliament, legislative amendments have broadened the scope of responsibilities of the CCDH, mandating consultations on specific topics</w:t>
      </w:r>
      <w:r w:rsidRPr="00973061">
        <w:rPr>
          <w:rStyle w:val="FootnoteReference"/>
          <w:noProof/>
          <w:lang w:eastAsia="fr-FR"/>
        </w:rPr>
        <w:footnoteReference w:id="130"/>
      </w:r>
      <w:r w:rsidRPr="00973061">
        <w:rPr>
          <w:noProof/>
          <w:lang w:eastAsia="fr-FR"/>
        </w:rPr>
        <w:t xml:space="preserve">. </w:t>
      </w:r>
      <w:r w:rsidRPr="00BE0E75">
        <w:rPr>
          <w:noProof/>
          <w:lang w:eastAsia="fr-FR"/>
        </w:rPr>
        <w:t xml:space="preserve">The CCDH </w:t>
      </w:r>
      <w:r>
        <w:rPr>
          <w:noProof/>
          <w:lang w:eastAsia="fr-FR"/>
        </w:rPr>
        <w:t>considers</w:t>
      </w:r>
      <w:r w:rsidRPr="00BE0E75">
        <w:rPr>
          <w:noProof/>
          <w:lang w:eastAsia="fr-FR"/>
        </w:rPr>
        <w:t xml:space="preserve"> that these new responsibilities should be accompanied by </w:t>
      </w:r>
      <w:r>
        <w:rPr>
          <w:noProof/>
          <w:lang w:eastAsia="fr-FR"/>
        </w:rPr>
        <w:t xml:space="preserve">a </w:t>
      </w:r>
      <w:r w:rsidRPr="00BE0E75">
        <w:rPr>
          <w:noProof/>
          <w:lang w:eastAsia="fr-FR"/>
        </w:rPr>
        <w:t xml:space="preserve">corresponding </w:t>
      </w:r>
      <w:r>
        <w:rPr>
          <w:noProof/>
          <w:lang w:eastAsia="fr-FR"/>
        </w:rPr>
        <w:t xml:space="preserve">increase in </w:t>
      </w:r>
      <w:r w:rsidRPr="00BE0E75">
        <w:rPr>
          <w:noProof/>
          <w:lang w:eastAsia="fr-FR"/>
        </w:rPr>
        <w:t>resources</w:t>
      </w:r>
      <w:r>
        <w:rPr>
          <w:noProof/>
          <w:lang w:eastAsia="fr-FR"/>
        </w:rPr>
        <w:t>.</w:t>
      </w:r>
      <w:r>
        <w:rPr>
          <w:rStyle w:val="FootnoteReference"/>
          <w:noProof/>
          <w:lang w:eastAsia="fr-FR"/>
        </w:rPr>
        <w:footnoteReference w:id="131"/>
      </w:r>
    </w:p>
    <w:p w14:paraId="5B696249" w14:textId="77777777" w:rsidR="00E53886" w:rsidRPr="00933766" w:rsidRDefault="00E53886" w:rsidP="00E53886">
      <w:pPr>
        <w:rPr>
          <w:noProof/>
          <w:lang w:val="en-IE" w:eastAsia="fr-FR"/>
        </w:rPr>
      </w:pPr>
      <w:r w:rsidRPr="00973061">
        <w:rPr>
          <w:b/>
          <w:bCs/>
          <w:noProof/>
          <w:lang w:eastAsia="fr-FR"/>
        </w:rPr>
        <w:t xml:space="preserve">The civic space is open and supported by public funding. </w:t>
      </w:r>
      <w:r w:rsidRPr="00933766">
        <w:rPr>
          <w:noProof/>
          <w:lang w:val="en-IE"/>
        </w:rPr>
        <w:t xml:space="preserve">Luxembourg </w:t>
      </w:r>
      <w:r w:rsidRPr="3B602AE3">
        <w:rPr>
          <w:noProof/>
          <w:lang w:val="en-IE"/>
        </w:rPr>
        <w:t xml:space="preserve">is considered to have an </w:t>
      </w:r>
      <w:r>
        <w:rPr>
          <w:noProof/>
          <w:lang w:val="en-IE"/>
        </w:rPr>
        <w:t>‘</w:t>
      </w:r>
      <w:r w:rsidRPr="3B602AE3">
        <w:rPr>
          <w:noProof/>
          <w:lang w:val="en-IE"/>
        </w:rPr>
        <w:t>open</w:t>
      </w:r>
      <w:r>
        <w:rPr>
          <w:noProof/>
          <w:lang w:val="en-IE"/>
        </w:rPr>
        <w:t>’</w:t>
      </w:r>
      <w:r w:rsidRPr="3B602AE3">
        <w:rPr>
          <w:noProof/>
          <w:lang w:val="en-IE"/>
        </w:rPr>
        <w:t xml:space="preserve"> civic space</w:t>
      </w:r>
      <w:r>
        <w:rPr>
          <w:noProof/>
          <w:lang w:val="en-IE"/>
        </w:rPr>
        <w:t xml:space="preserve"> by Civicus</w:t>
      </w:r>
      <w:r w:rsidRPr="00933766">
        <w:rPr>
          <w:rStyle w:val="FootnoteReference"/>
          <w:noProof/>
          <w:lang w:eastAsia="fr-FR"/>
        </w:rPr>
        <w:footnoteReference w:id="132"/>
      </w:r>
      <w:r>
        <w:rPr>
          <w:noProof/>
          <w:lang w:eastAsia="fr-FR"/>
        </w:rPr>
        <w:t>.</w:t>
      </w:r>
      <w:r w:rsidRPr="00973061">
        <w:rPr>
          <w:noProof/>
          <w:lang w:eastAsia="fr-FR"/>
        </w:rPr>
        <w:t xml:space="preserve"> Civil society organisations report that they are included in the national system of development cooperation, which is accompanied by a structured allocation of public funds</w:t>
      </w:r>
      <w:r w:rsidRPr="00973061">
        <w:rPr>
          <w:rStyle w:val="FootnoteReference"/>
          <w:noProof/>
          <w:lang w:eastAsia="fr-FR"/>
        </w:rPr>
        <w:footnoteReference w:id="133"/>
      </w:r>
      <w:r w:rsidRPr="00973061">
        <w:rPr>
          <w:noProof/>
          <w:lang w:eastAsia="fr-FR"/>
        </w:rPr>
        <w:t xml:space="preserve">. </w:t>
      </w:r>
      <w:r w:rsidRPr="0038075F">
        <w:rPr>
          <w:noProof/>
          <w:lang w:val="en-IE" w:eastAsia="fr-FR"/>
        </w:rPr>
        <w:t xml:space="preserve">The Council of State published its opinion on the draft law on the financial governance of organisations and foundations managing public funds, </w:t>
      </w:r>
      <w:r>
        <w:rPr>
          <w:noProof/>
          <w:lang w:val="en-IE" w:eastAsia="fr-FR"/>
        </w:rPr>
        <w:t xml:space="preserve">finding that envisaged stricter rules for payment orders above certain thresholds – aimed at preventing misappropriation of public funds – could impose </w:t>
      </w:r>
      <w:r w:rsidRPr="0038075F">
        <w:rPr>
          <w:noProof/>
          <w:lang w:val="en-IE" w:eastAsia="fr-FR"/>
        </w:rPr>
        <w:t xml:space="preserve">disproportionate </w:t>
      </w:r>
      <w:r>
        <w:rPr>
          <w:noProof/>
          <w:lang w:val="en-IE" w:eastAsia="fr-FR"/>
        </w:rPr>
        <w:t>administrative</w:t>
      </w:r>
      <w:r w:rsidRPr="0038075F">
        <w:rPr>
          <w:noProof/>
          <w:lang w:val="en-IE" w:eastAsia="fr-FR"/>
        </w:rPr>
        <w:t xml:space="preserve"> burdens for small and medium-sized entities</w:t>
      </w:r>
      <w:r>
        <w:rPr>
          <w:rStyle w:val="FootnoteReference"/>
          <w:noProof/>
          <w:lang w:val="en-IE" w:eastAsia="fr-FR"/>
        </w:rPr>
        <w:footnoteReference w:id="134"/>
      </w:r>
      <w:r>
        <w:rPr>
          <w:noProof/>
          <w:lang w:val="en-IE" w:eastAsia="fr-FR"/>
        </w:rPr>
        <w:t>.</w:t>
      </w:r>
    </w:p>
    <w:p w14:paraId="74EC8373" w14:textId="77777777" w:rsidR="00E53886" w:rsidRPr="00973061" w:rsidRDefault="00E53886" w:rsidP="00E53886">
      <w:pPr>
        <w:pageBreakBefore/>
        <w:spacing w:after="120" w:line="264" w:lineRule="auto"/>
        <w:rPr>
          <w:b/>
          <w:noProof/>
          <w:lang w:eastAsia="en-GB"/>
        </w:rPr>
      </w:pPr>
      <w:r w:rsidRPr="00973061">
        <w:rPr>
          <w:b/>
          <w:noProof/>
          <w:lang w:eastAsia="en-GB"/>
        </w:rPr>
        <w:t>Annex I: List of sources in alphabetical order*</w:t>
      </w:r>
    </w:p>
    <w:p w14:paraId="307BD96D" w14:textId="1A18D5E7" w:rsidR="00E53886" w:rsidRPr="00973061" w:rsidRDefault="00E53886" w:rsidP="00E53886">
      <w:pPr>
        <w:spacing w:after="120"/>
        <w:rPr>
          <w:i/>
          <w:noProof/>
          <w:sz w:val="22"/>
          <w:lang w:eastAsia="en-GB"/>
        </w:rPr>
      </w:pPr>
      <w:r w:rsidRPr="00973061">
        <w:rPr>
          <w:i/>
          <w:noProof/>
          <w:sz w:val="22"/>
          <w:lang w:eastAsia="en-GB"/>
        </w:rPr>
        <w:t xml:space="preserve">* The list of contributions received in the context of the consultation for the 2026 Rule of Law Report can be found at </w:t>
      </w:r>
      <w:hyperlink r:id="rId22" w:history="1">
        <w:r w:rsidR="00614772" w:rsidRPr="00614772">
          <w:rPr>
            <w:rStyle w:val="Hyperlink"/>
            <w:i/>
            <w:noProof/>
            <w:sz w:val="22"/>
            <w:lang w:val="en-US" w:eastAsia="en-GB"/>
          </w:rPr>
          <w:t>https://commission.europa.eu/publications/2026-rule-law-report-targeted-stakeholder-consultation_en</w:t>
        </w:r>
      </w:hyperlink>
      <w:r w:rsidRPr="00973061">
        <w:rPr>
          <w:i/>
          <w:noProof/>
          <w:sz w:val="22"/>
          <w:lang w:eastAsia="en-GB"/>
        </w:rPr>
        <w:t>.</w:t>
      </w:r>
    </w:p>
    <w:p w14:paraId="1A50EDD0" w14:textId="77777777" w:rsidR="00E53886" w:rsidRPr="003A3B7A" w:rsidRDefault="00E53886" w:rsidP="00E53886">
      <w:pPr>
        <w:spacing w:after="120"/>
        <w:rPr>
          <w:noProof/>
          <w:sz w:val="22"/>
          <w:lang w:eastAsia="en-GB"/>
        </w:rPr>
      </w:pPr>
      <w:r w:rsidRPr="003A3B7A">
        <w:rPr>
          <w:noProof/>
          <w:sz w:val="22"/>
          <w:lang w:eastAsia="en-GB"/>
        </w:rPr>
        <w:t xml:space="preserve">Administrative Court (2026a), </w:t>
      </w:r>
      <w:r w:rsidRPr="00933766">
        <w:rPr>
          <w:i/>
          <w:iCs/>
          <w:noProof/>
          <w:sz w:val="22"/>
          <w:lang w:eastAsia="en-GB"/>
        </w:rPr>
        <w:t>Input from the Administrative Court for the 2026 Rule of Law Report</w:t>
      </w:r>
      <w:r w:rsidRPr="003A3B7A">
        <w:rPr>
          <w:noProof/>
          <w:sz w:val="22"/>
          <w:lang w:eastAsia="en-GB"/>
        </w:rPr>
        <w:t>.</w:t>
      </w:r>
    </w:p>
    <w:p w14:paraId="2DBFF56B" w14:textId="6391066E" w:rsidR="00E53886" w:rsidRPr="00B71225" w:rsidRDefault="00E53886" w:rsidP="00E53886">
      <w:pPr>
        <w:spacing w:after="120"/>
        <w:rPr>
          <w:noProof/>
          <w:sz w:val="22"/>
          <w:lang w:val="fr-FR" w:eastAsia="en-GB"/>
        </w:rPr>
      </w:pPr>
      <w:r w:rsidRPr="00933766">
        <w:rPr>
          <w:noProof/>
          <w:sz w:val="22"/>
          <w:lang w:val="fr-BE" w:eastAsia="en-GB"/>
        </w:rPr>
        <w:t>Administrative Court (2026b), Opinion on the draft law 8694 proposing amendments to the modified law of 7 November 1996, which organises the administrative jurisdiction order, to establish an Asylum and Immigration Tribunal (</w:t>
      </w:r>
      <w:r w:rsidRPr="00933766">
        <w:rPr>
          <w:i/>
          <w:iCs/>
          <w:noProof/>
          <w:sz w:val="22"/>
          <w:lang w:val="fr-BE" w:eastAsia="en-GB"/>
        </w:rPr>
        <w:t>Avis de la Cour administrative concernant le projet de loi numéro 8694 portant modification de la loi modifiée du 7 novembre 1996 portant organisation des juridictions de l’ordre administratif en vue d’y instituer un tribunal d’asile et d’immigration</w:t>
      </w:r>
      <w:r w:rsidRPr="003A3B7A">
        <w:rPr>
          <w:noProof/>
          <w:sz w:val="22"/>
          <w:lang w:val="fr-BE" w:eastAsia="en-GB"/>
        </w:rPr>
        <w:t>)</w:t>
      </w:r>
      <w:r w:rsidRPr="00933766">
        <w:rPr>
          <w:noProof/>
          <w:sz w:val="22"/>
          <w:lang w:val="fr-BE" w:eastAsia="en-GB"/>
        </w:rPr>
        <w:t xml:space="preserve">, 26 February 2026, </w:t>
      </w:r>
      <w:hyperlink r:id="rId23" w:history="1">
        <w:r w:rsidR="00B71225" w:rsidRPr="004954C0">
          <w:rPr>
            <w:rStyle w:val="Hyperlink"/>
            <w:noProof/>
            <w:sz w:val="22"/>
            <w:lang w:val="fr-BE" w:eastAsia="en-GB"/>
          </w:rPr>
          <w:t>https://legilux.public.lu/filestore/eli/dl/pl/2026/34/evenement/avis/5/doc/davoc/1/fr/pdf/eli-dl-pl-2026-34-evenement-avis-5-doc-davoc-1-fr-pdf.pdf</w:t>
        </w:r>
      </w:hyperlink>
      <w:r w:rsidR="00B71225">
        <w:rPr>
          <w:noProof/>
          <w:sz w:val="22"/>
          <w:lang w:val="fr-BE" w:eastAsia="en-GB"/>
        </w:rPr>
        <w:t xml:space="preserve">. </w:t>
      </w:r>
    </w:p>
    <w:p w14:paraId="3836CDD5" w14:textId="77777777" w:rsidR="00E53886" w:rsidRPr="00933766" w:rsidRDefault="00E53886" w:rsidP="00E53886">
      <w:pPr>
        <w:spacing w:after="120"/>
        <w:rPr>
          <w:rStyle w:val="Bodytext1"/>
          <w:noProof/>
          <w:sz w:val="22"/>
          <w:lang w:val="fr-BE"/>
        </w:rPr>
      </w:pPr>
      <w:r w:rsidRPr="00933766">
        <w:rPr>
          <w:noProof/>
          <w:sz w:val="22"/>
          <w:lang w:val="fr-BE"/>
        </w:rPr>
        <w:t xml:space="preserve">Autorité luxembourgeoise indépendante de l'audiovisuel </w:t>
      </w:r>
      <w:r w:rsidRPr="003A3B7A">
        <w:rPr>
          <w:noProof/>
          <w:sz w:val="22"/>
          <w:lang w:val="fr-BE"/>
        </w:rPr>
        <w:t>(</w:t>
      </w:r>
      <w:r w:rsidRPr="00933766">
        <w:rPr>
          <w:noProof/>
          <w:sz w:val="22"/>
          <w:lang w:val="fr-BE"/>
        </w:rPr>
        <w:t>ALIA)</w:t>
      </w:r>
      <w:r w:rsidRPr="003A3B7A">
        <w:rPr>
          <w:noProof/>
          <w:sz w:val="22"/>
          <w:lang w:val="fr-BE"/>
        </w:rPr>
        <w:t xml:space="preserve"> (2026), </w:t>
      </w:r>
      <w:r w:rsidRPr="00933766">
        <w:rPr>
          <w:i/>
          <w:iCs/>
          <w:noProof/>
          <w:sz w:val="22"/>
          <w:lang w:val="fr-BE"/>
        </w:rPr>
        <w:t xml:space="preserve">additional written input from the Autorité luxembourgeoise indépendante de l'audiovisuel (ALIA) </w:t>
      </w:r>
      <w:r w:rsidRPr="00933766">
        <w:rPr>
          <w:i/>
          <w:iCs/>
          <w:noProof/>
          <w:sz w:val="22"/>
          <w:lang w:val="fr-BE" w:eastAsia="en-GB"/>
        </w:rPr>
        <w:t>for the 2026 Rule of Law Report.</w:t>
      </w:r>
    </w:p>
    <w:p w14:paraId="2983348E" w14:textId="15817B37" w:rsidR="00E53886" w:rsidRPr="003A3B7A" w:rsidRDefault="00E53886" w:rsidP="00E53886">
      <w:pPr>
        <w:spacing w:after="120"/>
        <w:rPr>
          <w:noProof/>
          <w:sz w:val="22"/>
          <w:lang w:eastAsia="en-GB"/>
        </w:rPr>
      </w:pPr>
      <w:r w:rsidRPr="003A3B7A">
        <w:rPr>
          <w:rStyle w:val="Bodytext1"/>
          <w:noProof/>
          <w:sz w:val="22"/>
        </w:rPr>
        <w:t>Chamber of Craft Industry (2024), Guidelines to report an alert (</w:t>
      </w:r>
      <w:r w:rsidRPr="00933766">
        <w:rPr>
          <w:rStyle w:val="Bodytext1"/>
          <w:i/>
          <w:iCs/>
          <w:noProof/>
          <w:sz w:val="22"/>
        </w:rPr>
        <w:t>Procédures &amp; politiques CdM</w:t>
      </w:r>
      <w:r w:rsidRPr="003A3B7A">
        <w:rPr>
          <w:rStyle w:val="Bodytext1"/>
          <w:noProof/>
          <w:sz w:val="22"/>
        </w:rPr>
        <w:t xml:space="preserve">), </w:t>
      </w:r>
      <w:hyperlink r:id="rId24" w:history="1">
        <w:r w:rsidRPr="003A3B7A">
          <w:rPr>
            <w:rStyle w:val="Hyperlink"/>
            <w:noProof/>
            <w:sz w:val="22"/>
          </w:rPr>
          <w:t>https://www.cdm.lu/procedures-internes</w:t>
        </w:r>
      </w:hyperlink>
      <w:r w:rsidR="007906BF" w:rsidRPr="006536D8">
        <w:rPr>
          <w:noProof/>
          <w:sz w:val="22"/>
          <w:lang w:eastAsia="en-GB"/>
        </w:rPr>
        <w:t>.</w:t>
      </w:r>
      <w:r w:rsidRPr="003A3B7A">
        <w:rPr>
          <w:rStyle w:val="Bodytext1"/>
          <w:noProof/>
          <w:sz w:val="22"/>
        </w:rPr>
        <w:t xml:space="preserve"> </w:t>
      </w:r>
    </w:p>
    <w:p w14:paraId="2983ECB3" w14:textId="4BE1A46C" w:rsidR="00E53886" w:rsidRPr="00933766" w:rsidRDefault="00E53886" w:rsidP="00E53886">
      <w:pPr>
        <w:spacing w:after="120"/>
        <w:rPr>
          <w:noProof/>
          <w:sz w:val="22"/>
          <w:lang w:val="fr-BE" w:eastAsia="en-GB"/>
        </w:rPr>
      </w:pPr>
      <w:r w:rsidRPr="003A3B7A">
        <w:rPr>
          <w:noProof/>
          <w:sz w:val="22"/>
          <w:lang w:val="en-IE" w:eastAsia="en-GB"/>
        </w:rPr>
        <w:t xml:space="preserve">Chamber of Deputies (2022a), Draft law 7991 introducing a juvenile criminal law and juvenile criminal procedure, and providing for amendments […] </w:t>
      </w:r>
      <w:r w:rsidRPr="00933766">
        <w:rPr>
          <w:noProof/>
          <w:sz w:val="22"/>
          <w:lang w:val="fr-BE" w:eastAsia="en-GB"/>
        </w:rPr>
        <w:t>(</w:t>
      </w:r>
      <w:r w:rsidRPr="00933766">
        <w:rPr>
          <w:i/>
          <w:iCs/>
          <w:noProof/>
          <w:sz w:val="22"/>
          <w:lang w:val="fr-BE" w:eastAsia="en-GB"/>
        </w:rPr>
        <w:t>Projet de loi portant introduction d’un droit pénal et d’une procédure pénale pour mineurs et portant modification</w:t>
      </w:r>
      <w:r w:rsidRPr="003A3B7A">
        <w:rPr>
          <w:i/>
          <w:iCs/>
          <w:noProof/>
          <w:sz w:val="22"/>
          <w:lang w:val="fr-BE" w:eastAsia="en-GB"/>
        </w:rPr>
        <w:t xml:space="preserve"> </w:t>
      </w:r>
      <w:r w:rsidRPr="003A3B7A">
        <w:rPr>
          <w:noProof/>
          <w:sz w:val="22"/>
          <w:lang w:val="fr-BE" w:eastAsia="en-GB"/>
        </w:rPr>
        <w:t xml:space="preserve">[…]), 19 April 2022, </w:t>
      </w:r>
      <w:hyperlink r:id="rId25" w:history="1">
        <w:r w:rsidRPr="003A3B7A">
          <w:rPr>
            <w:rStyle w:val="Hyperlink"/>
            <w:noProof/>
            <w:sz w:val="22"/>
            <w:lang w:val="fr-BE" w:eastAsia="en-GB"/>
          </w:rPr>
          <w:t>https://www.chd.lu/en/dossier/7991</w:t>
        </w:r>
      </w:hyperlink>
      <w:r w:rsidR="007906BF" w:rsidRPr="000F1B41">
        <w:rPr>
          <w:noProof/>
          <w:sz w:val="22"/>
          <w:lang w:val="fr-BE" w:eastAsia="en-GB"/>
        </w:rPr>
        <w:t>.</w:t>
      </w:r>
      <w:r w:rsidRPr="003A3B7A">
        <w:rPr>
          <w:noProof/>
          <w:sz w:val="22"/>
          <w:lang w:val="fr-BE" w:eastAsia="en-GB"/>
        </w:rPr>
        <w:t xml:space="preserve"> </w:t>
      </w:r>
    </w:p>
    <w:p w14:paraId="451C62F2" w14:textId="4EDD551A" w:rsidR="00E53886" w:rsidRPr="003A3B7A" w:rsidRDefault="00E53886" w:rsidP="00E53886">
      <w:pPr>
        <w:spacing w:after="120"/>
        <w:rPr>
          <w:noProof/>
          <w:sz w:val="22"/>
          <w:lang w:val="fr-BE" w:eastAsia="en-GB"/>
        </w:rPr>
      </w:pPr>
      <w:r w:rsidRPr="00933766">
        <w:rPr>
          <w:noProof/>
          <w:sz w:val="22"/>
          <w:lang w:val="fr-BE" w:eastAsia="en-GB"/>
        </w:rPr>
        <w:t>Chamber of Deputies (2022b),</w:t>
      </w:r>
      <w:r w:rsidRPr="003A3B7A">
        <w:rPr>
          <w:noProof/>
          <w:sz w:val="22"/>
          <w:lang w:val="fr-BE" w:eastAsia="en-GB"/>
        </w:rPr>
        <w:t xml:space="preserve"> Draft </w:t>
      </w:r>
      <w:r w:rsidRPr="00933766">
        <w:rPr>
          <w:noProof/>
          <w:sz w:val="22"/>
          <w:lang w:val="fr-BE" w:eastAsia="en-GB"/>
        </w:rPr>
        <w:t>law</w:t>
      </w:r>
      <w:r w:rsidRPr="003A3B7A">
        <w:rPr>
          <w:noProof/>
          <w:sz w:val="22"/>
          <w:lang w:val="fr-BE" w:eastAsia="en-GB"/>
        </w:rPr>
        <w:t xml:space="preserve"> 7992 on the rights of minor victims and witnesses in the context of criminal proceedings, and amending: the Criminal Code; the Code of Criminal Procedure; the amended Law of 10 August 1991 on the legal profession</w:t>
      </w:r>
      <w:r w:rsidRPr="00933766">
        <w:rPr>
          <w:noProof/>
          <w:sz w:val="22"/>
          <w:lang w:val="fr-BE" w:eastAsia="en-GB"/>
        </w:rPr>
        <w:t xml:space="preserve"> (</w:t>
      </w:r>
      <w:r w:rsidRPr="00933766">
        <w:rPr>
          <w:i/>
          <w:iCs/>
          <w:noProof/>
          <w:sz w:val="22"/>
          <w:lang w:val="fr-BE" w:eastAsia="en-GB"/>
        </w:rPr>
        <w:t>Projet de loi relatif aux droits des mineurs victimes et témoins dans le cadre de la procédure pénale et portant modification : du Code pénal</w:t>
      </w:r>
      <w:r w:rsidRPr="003A3B7A">
        <w:rPr>
          <w:i/>
          <w:iCs/>
          <w:noProof/>
          <w:sz w:val="22"/>
          <w:lang w:val="fr-BE" w:eastAsia="en-GB"/>
        </w:rPr>
        <w:t>,</w:t>
      </w:r>
      <w:r w:rsidRPr="00933766">
        <w:rPr>
          <w:i/>
          <w:iCs/>
          <w:noProof/>
          <w:sz w:val="22"/>
          <w:lang w:val="fr-BE" w:eastAsia="en-GB"/>
        </w:rPr>
        <w:t xml:space="preserve"> du Code de procédure pénale</w:t>
      </w:r>
      <w:r w:rsidRPr="003A3B7A">
        <w:rPr>
          <w:i/>
          <w:iCs/>
          <w:noProof/>
          <w:sz w:val="22"/>
          <w:lang w:val="fr-BE" w:eastAsia="en-GB"/>
        </w:rPr>
        <w:t>,</w:t>
      </w:r>
      <w:r w:rsidRPr="00933766">
        <w:rPr>
          <w:i/>
          <w:iCs/>
          <w:noProof/>
          <w:sz w:val="22"/>
          <w:lang w:val="fr-BE" w:eastAsia="en-GB"/>
        </w:rPr>
        <w:t xml:space="preserve"> de la loi modifiée du 10 août 1991 sur la profession d'avocat</w:t>
      </w:r>
      <w:r w:rsidRPr="003A3B7A">
        <w:rPr>
          <w:noProof/>
          <w:sz w:val="22"/>
          <w:lang w:val="fr-BE" w:eastAsia="en-GB"/>
        </w:rPr>
        <w:t xml:space="preserve">), 19 April 2022, </w:t>
      </w:r>
      <w:hyperlink r:id="rId26" w:history="1">
        <w:r w:rsidRPr="003A3B7A">
          <w:rPr>
            <w:rStyle w:val="Hyperlink"/>
            <w:noProof/>
            <w:sz w:val="22"/>
            <w:lang w:val="fr-BE" w:eastAsia="en-GB"/>
          </w:rPr>
          <w:t>https://www.chd.lu/en/dossier/7992</w:t>
        </w:r>
      </w:hyperlink>
      <w:r w:rsidR="007906BF" w:rsidRPr="000F1B41">
        <w:rPr>
          <w:noProof/>
          <w:sz w:val="22"/>
          <w:lang w:val="fr-BE" w:eastAsia="en-GB"/>
        </w:rPr>
        <w:t>.</w:t>
      </w:r>
      <w:r w:rsidRPr="003A3B7A">
        <w:rPr>
          <w:noProof/>
          <w:sz w:val="22"/>
          <w:lang w:val="fr-BE" w:eastAsia="en-GB"/>
        </w:rPr>
        <w:t xml:space="preserve"> </w:t>
      </w:r>
    </w:p>
    <w:p w14:paraId="6D0CC889" w14:textId="3611ACF1" w:rsidR="00E53886" w:rsidRPr="00933766" w:rsidRDefault="00E53886" w:rsidP="00E53886">
      <w:pPr>
        <w:spacing w:after="120"/>
        <w:rPr>
          <w:noProof/>
          <w:sz w:val="22"/>
          <w:lang w:val="fr-BE" w:eastAsia="en-GB"/>
        </w:rPr>
      </w:pPr>
      <w:r w:rsidRPr="003A3B7A">
        <w:rPr>
          <w:noProof/>
          <w:sz w:val="22"/>
          <w:lang w:val="en-IE" w:eastAsia="en-GB"/>
        </w:rPr>
        <w:t xml:space="preserve">Chamber of Deputies (2022c), Draft law 7994 providing for assistance, support and protection for minors, young adults and families, and providing for amendments </w:t>
      </w:r>
      <w:r w:rsidRPr="00933766">
        <w:rPr>
          <w:noProof/>
          <w:sz w:val="22"/>
          <w:lang w:val="en-IE" w:eastAsia="en-GB"/>
        </w:rPr>
        <w:t xml:space="preserve">[…] </w:t>
      </w:r>
      <w:r w:rsidRPr="00933766">
        <w:rPr>
          <w:noProof/>
          <w:sz w:val="22"/>
          <w:lang w:val="fr-BE" w:eastAsia="en-GB"/>
        </w:rPr>
        <w:t>(</w:t>
      </w:r>
      <w:r w:rsidRPr="00933766">
        <w:rPr>
          <w:i/>
          <w:iCs/>
          <w:noProof/>
          <w:sz w:val="22"/>
          <w:lang w:val="fr-BE" w:eastAsia="en-GB"/>
        </w:rPr>
        <w:t>Projet de loi portant aide, soutien et protection aux mineurs, aux jeunes adultes et aux familles et portant modification</w:t>
      </w:r>
      <w:r w:rsidRPr="003A3B7A">
        <w:rPr>
          <w:i/>
          <w:iCs/>
          <w:noProof/>
          <w:sz w:val="22"/>
          <w:lang w:val="fr-BE" w:eastAsia="en-GB"/>
        </w:rPr>
        <w:t xml:space="preserve"> </w:t>
      </w:r>
      <w:r w:rsidRPr="003A3B7A">
        <w:rPr>
          <w:noProof/>
          <w:sz w:val="22"/>
          <w:lang w:val="fr-BE" w:eastAsia="en-GB"/>
        </w:rPr>
        <w:t xml:space="preserve">[…]), 25 April 2022, </w:t>
      </w:r>
      <w:hyperlink r:id="rId27" w:history="1">
        <w:r w:rsidRPr="003A3B7A">
          <w:rPr>
            <w:rStyle w:val="Hyperlink"/>
            <w:noProof/>
            <w:sz w:val="22"/>
            <w:lang w:val="fr-BE" w:eastAsia="en-GB"/>
          </w:rPr>
          <w:t>https://www.chd.lu/en/dossier/7994</w:t>
        </w:r>
      </w:hyperlink>
      <w:r w:rsidR="007906BF" w:rsidRPr="000F1B41">
        <w:rPr>
          <w:noProof/>
          <w:sz w:val="22"/>
          <w:lang w:val="fr-BE" w:eastAsia="en-GB"/>
        </w:rPr>
        <w:t>.</w:t>
      </w:r>
      <w:r w:rsidRPr="003A3B7A">
        <w:rPr>
          <w:noProof/>
          <w:sz w:val="22"/>
          <w:lang w:val="fr-BE" w:eastAsia="en-GB"/>
        </w:rPr>
        <w:t xml:space="preserve"> </w:t>
      </w:r>
    </w:p>
    <w:p w14:paraId="1E761BD2" w14:textId="14740766" w:rsidR="00E53886" w:rsidRPr="00933766" w:rsidRDefault="00E53886" w:rsidP="00E53886">
      <w:pPr>
        <w:spacing w:after="120"/>
        <w:rPr>
          <w:noProof/>
          <w:sz w:val="22"/>
          <w:lang w:val="fr-BE" w:eastAsia="en-GB"/>
        </w:rPr>
      </w:pPr>
      <w:r>
        <w:rPr>
          <w:noProof/>
          <w:sz w:val="22"/>
          <w:lang w:val="en-IE" w:eastAsia="en-GB"/>
        </w:rPr>
        <w:t xml:space="preserve">Chamber of Deputies (2024a), </w:t>
      </w:r>
      <w:r w:rsidRPr="00752334">
        <w:rPr>
          <w:noProof/>
          <w:sz w:val="22"/>
          <w:lang w:val="en-IE" w:eastAsia="en-GB"/>
        </w:rPr>
        <w:t xml:space="preserve">Draft </w:t>
      </w:r>
      <w:r>
        <w:rPr>
          <w:noProof/>
          <w:sz w:val="22"/>
          <w:lang w:val="en-IE" w:eastAsia="en-GB"/>
        </w:rPr>
        <w:t>law</w:t>
      </w:r>
      <w:r w:rsidRPr="00752334">
        <w:rPr>
          <w:noProof/>
          <w:sz w:val="22"/>
          <w:lang w:val="en-IE" w:eastAsia="en-GB"/>
        </w:rPr>
        <w:t xml:space="preserve"> </w:t>
      </w:r>
      <w:r>
        <w:rPr>
          <w:noProof/>
          <w:sz w:val="22"/>
          <w:lang w:val="en-IE" w:eastAsia="en-GB"/>
        </w:rPr>
        <w:t xml:space="preserve">8447 </w:t>
      </w:r>
      <w:r w:rsidRPr="00752334">
        <w:rPr>
          <w:noProof/>
          <w:sz w:val="22"/>
          <w:lang w:val="en-IE" w:eastAsia="en-GB"/>
        </w:rPr>
        <w:t>concerning the financial governance of organisations and foundations managing public funds and amending</w:t>
      </w:r>
      <w:r>
        <w:rPr>
          <w:noProof/>
          <w:sz w:val="22"/>
          <w:lang w:val="en-IE" w:eastAsia="en-GB"/>
        </w:rPr>
        <w:t xml:space="preserve"> […] </w:t>
      </w:r>
      <w:r w:rsidRPr="00933766">
        <w:rPr>
          <w:noProof/>
          <w:sz w:val="22"/>
          <w:lang w:val="fr-BE" w:eastAsia="en-GB"/>
        </w:rPr>
        <w:t>(</w:t>
      </w:r>
      <w:r w:rsidRPr="00933766">
        <w:rPr>
          <w:i/>
          <w:iCs/>
          <w:noProof/>
          <w:sz w:val="22"/>
          <w:lang w:val="fr-BE" w:eastAsia="en-GB"/>
        </w:rPr>
        <w:t>Proposition de loi concernant la gouvernance financière d'organisations et fondations gérant des deniers publics et modifiant</w:t>
      </w:r>
      <w:r>
        <w:rPr>
          <w:i/>
          <w:iCs/>
          <w:noProof/>
          <w:sz w:val="22"/>
          <w:lang w:val="fr-BE" w:eastAsia="en-GB"/>
        </w:rPr>
        <w:t xml:space="preserve"> </w:t>
      </w:r>
      <w:r>
        <w:rPr>
          <w:noProof/>
          <w:sz w:val="22"/>
          <w:lang w:val="fr-BE" w:eastAsia="en-GB"/>
        </w:rPr>
        <w:t xml:space="preserve">[…]), 10 October 2024, </w:t>
      </w:r>
      <w:hyperlink r:id="rId28" w:history="1">
        <w:r w:rsidRPr="00A05614">
          <w:rPr>
            <w:rStyle w:val="Hyperlink"/>
            <w:noProof/>
            <w:sz w:val="22"/>
            <w:lang w:val="fr-BE" w:eastAsia="en-GB"/>
          </w:rPr>
          <w:t>https://www.chd.lu/fr/dossier/8447</w:t>
        </w:r>
      </w:hyperlink>
      <w:r w:rsidR="007906BF" w:rsidRPr="000F1B41">
        <w:rPr>
          <w:noProof/>
          <w:sz w:val="22"/>
          <w:lang w:val="fr-BE" w:eastAsia="en-GB"/>
        </w:rPr>
        <w:t>.</w:t>
      </w:r>
      <w:r>
        <w:rPr>
          <w:noProof/>
          <w:sz w:val="22"/>
          <w:lang w:val="fr-BE" w:eastAsia="en-GB"/>
        </w:rPr>
        <w:t xml:space="preserve"> </w:t>
      </w:r>
    </w:p>
    <w:p w14:paraId="3415F812" w14:textId="0D95B01F" w:rsidR="00E53886" w:rsidRPr="003A3B7A" w:rsidRDefault="00E53886" w:rsidP="00E53886">
      <w:pPr>
        <w:spacing w:after="120"/>
        <w:rPr>
          <w:noProof/>
          <w:sz w:val="22"/>
          <w:lang w:val="fr-BE" w:eastAsia="en-GB"/>
        </w:rPr>
      </w:pPr>
      <w:r w:rsidRPr="003A3B7A">
        <w:rPr>
          <w:noProof/>
          <w:sz w:val="22"/>
          <w:lang w:val="en-IE" w:eastAsia="en-GB"/>
        </w:rPr>
        <w:t>Chamber of Deputies (2024</w:t>
      </w:r>
      <w:r>
        <w:rPr>
          <w:noProof/>
          <w:sz w:val="22"/>
          <w:lang w:val="en-IE" w:eastAsia="en-GB"/>
        </w:rPr>
        <w:t>b</w:t>
      </w:r>
      <w:r w:rsidRPr="003A3B7A">
        <w:rPr>
          <w:noProof/>
          <w:sz w:val="22"/>
          <w:lang w:val="en-IE" w:eastAsia="en-GB"/>
        </w:rPr>
        <w:t xml:space="preserve">), Draft law 8421 on the promotion of professional journalism and democratic debate, and amending […] </w:t>
      </w:r>
      <w:r w:rsidRPr="00933766">
        <w:rPr>
          <w:i/>
          <w:iCs/>
          <w:noProof/>
          <w:sz w:val="22"/>
          <w:lang w:val="fr-BE" w:eastAsia="en-GB"/>
        </w:rPr>
        <w:t>(Projet de loi sur la promotion du journalisme professionnel et du débat démocratique et portant modification</w:t>
      </w:r>
      <w:r w:rsidRPr="003A3B7A">
        <w:rPr>
          <w:noProof/>
          <w:sz w:val="22"/>
          <w:lang w:val="fr-BE" w:eastAsia="en-GB"/>
        </w:rPr>
        <w:t xml:space="preserve"> […]), 24 July 2024, </w:t>
      </w:r>
      <w:hyperlink r:id="rId29" w:history="1">
        <w:r w:rsidRPr="003A3B7A">
          <w:rPr>
            <w:rStyle w:val="Hyperlink"/>
            <w:noProof/>
            <w:sz w:val="22"/>
            <w:lang w:val="fr-BE" w:eastAsia="en-GB"/>
          </w:rPr>
          <w:t>https://www.chd.lu/en/dossier/8421</w:t>
        </w:r>
      </w:hyperlink>
      <w:r w:rsidR="007906BF" w:rsidRPr="000F1B41">
        <w:rPr>
          <w:noProof/>
          <w:sz w:val="22"/>
          <w:lang w:val="fr-BE" w:eastAsia="en-GB"/>
        </w:rPr>
        <w:t>.</w:t>
      </w:r>
    </w:p>
    <w:p w14:paraId="49DA8788" w14:textId="39A96917" w:rsidR="00E53886" w:rsidRPr="00933766" w:rsidRDefault="00E53886" w:rsidP="00E53886">
      <w:pPr>
        <w:spacing w:after="120"/>
        <w:rPr>
          <w:noProof/>
          <w:sz w:val="22"/>
          <w:lang w:val="fr-BE" w:eastAsia="en-GB"/>
        </w:rPr>
      </w:pPr>
      <w:r w:rsidRPr="003A3B7A">
        <w:rPr>
          <w:noProof/>
          <w:sz w:val="22"/>
          <w:lang w:val="fr-BE" w:eastAsia="en-GB"/>
        </w:rPr>
        <w:t>Chamber of Deputies (2025a), D</w:t>
      </w:r>
      <w:r w:rsidRPr="00933766">
        <w:rPr>
          <w:noProof/>
          <w:sz w:val="22"/>
          <w:lang w:val="fr-BE" w:eastAsia="en-GB"/>
        </w:rPr>
        <w:t>raft law 8433B amending the amended Law of 7 June 2012 on judicial assistants, with a view to revising recruitment, vocational training and the probationary period (</w:t>
      </w:r>
      <w:r w:rsidRPr="00933766">
        <w:rPr>
          <w:i/>
          <w:iCs/>
          <w:noProof/>
          <w:sz w:val="22"/>
          <w:lang w:val="fr-BE" w:eastAsia="en-GB"/>
        </w:rPr>
        <w:t>Projet de loi portant modification de la loi modifiée du 7 juin 2012 sur les attachés de justice en vue de réviser le recrutement, la formation professionnelle et le service provisoire</w:t>
      </w:r>
      <w:r w:rsidRPr="003A3B7A">
        <w:rPr>
          <w:noProof/>
          <w:sz w:val="22"/>
          <w:lang w:val="fr-BE" w:eastAsia="en-GB"/>
        </w:rPr>
        <w:t xml:space="preserve">), 4 February 2025, </w:t>
      </w:r>
      <w:hyperlink r:id="rId30" w:history="1">
        <w:r w:rsidRPr="003A3B7A">
          <w:rPr>
            <w:rStyle w:val="Hyperlink"/>
            <w:noProof/>
            <w:sz w:val="22"/>
            <w:lang w:val="fr-BE" w:eastAsia="en-GB"/>
          </w:rPr>
          <w:t>https://www.chd.lu/en/dossier/8433B</w:t>
        </w:r>
      </w:hyperlink>
      <w:r w:rsidR="007906BF" w:rsidRPr="000F1B41">
        <w:rPr>
          <w:noProof/>
          <w:sz w:val="22"/>
          <w:lang w:val="fr-BE" w:eastAsia="en-GB"/>
        </w:rPr>
        <w:t>.</w:t>
      </w:r>
    </w:p>
    <w:p w14:paraId="5F8E40B3" w14:textId="703530D5" w:rsidR="00E53886" w:rsidRPr="003A3B7A" w:rsidRDefault="00E53886" w:rsidP="00E53886">
      <w:pPr>
        <w:spacing w:after="120"/>
        <w:rPr>
          <w:noProof/>
          <w:sz w:val="22"/>
          <w:lang w:val="fr-BE" w:eastAsia="en-GB"/>
        </w:rPr>
      </w:pPr>
      <w:r w:rsidRPr="003A3B7A">
        <w:rPr>
          <w:noProof/>
          <w:sz w:val="22"/>
          <w:lang w:val="fr-BE" w:eastAsia="en-GB"/>
        </w:rPr>
        <w:t>Chamber of Deputies (2025b), Draft law 8501 amending the Law of 21 November 2008 establishing an Advisory Commission on Human Rights in the Grand Duchy of Luxembourg (</w:t>
      </w:r>
      <w:r w:rsidRPr="00933766">
        <w:rPr>
          <w:i/>
          <w:iCs/>
          <w:noProof/>
          <w:sz w:val="22"/>
          <w:lang w:val="fr-BE" w:eastAsia="en-GB"/>
        </w:rPr>
        <w:t>Projet de loi portant modification de la loi du 21 novembre 2008 portant création d'une Commission consultative des Droits de l'Homme au Grand-Duché de Luxembourg</w:t>
      </w:r>
      <w:r w:rsidRPr="003A3B7A">
        <w:rPr>
          <w:noProof/>
          <w:sz w:val="22"/>
          <w:lang w:val="fr-BE" w:eastAsia="en-GB"/>
        </w:rPr>
        <w:t xml:space="preserve">), 14 February 2025, </w:t>
      </w:r>
      <w:hyperlink r:id="rId31" w:history="1">
        <w:r w:rsidRPr="003A3B7A">
          <w:rPr>
            <w:rStyle w:val="Hyperlink"/>
            <w:noProof/>
            <w:sz w:val="22"/>
            <w:lang w:val="fr-BE" w:eastAsia="en-GB"/>
          </w:rPr>
          <w:t>https://www.chd.lu/en/dossier/8501</w:t>
        </w:r>
      </w:hyperlink>
      <w:r w:rsidR="007906BF" w:rsidRPr="000F1B41">
        <w:rPr>
          <w:noProof/>
          <w:sz w:val="22"/>
          <w:lang w:val="fr-BE" w:eastAsia="en-GB"/>
        </w:rPr>
        <w:t>.</w:t>
      </w:r>
      <w:r w:rsidRPr="003A3B7A">
        <w:rPr>
          <w:noProof/>
          <w:sz w:val="22"/>
          <w:lang w:val="fr-BE" w:eastAsia="en-GB"/>
        </w:rPr>
        <w:t xml:space="preserve"> </w:t>
      </w:r>
    </w:p>
    <w:p w14:paraId="6F54FA20" w14:textId="2099BEFE" w:rsidR="00E53886" w:rsidRPr="00567811" w:rsidRDefault="00E53886" w:rsidP="00E53886">
      <w:pPr>
        <w:spacing w:after="120"/>
        <w:rPr>
          <w:noProof/>
          <w:sz w:val="22"/>
          <w:lang w:val="fr-FR" w:eastAsia="en-GB"/>
        </w:rPr>
      </w:pPr>
      <w:r w:rsidRPr="003A3B7A">
        <w:rPr>
          <w:noProof/>
          <w:sz w:val="22"/>
          <w:lang w:eastAsia="en-GB"/>
        </w:rPr>
        <w:t xml:space="preserve">Chamber of Deputies (2025c), Draft law 8625 on the media and on the organisation of the Independent Luxembourg Media Authority, and implementing […] </w:t>
      </w:r>
      <w:r w:rsidRPr="003A3B7A">
        <w:rPr>
          <w:noProof/>
          <w:sz w:val="22"/>
          <w:lang w:val="fr-BE" w:eastAsia="en-GB"/>
        </w:rPr>
        <w:t>(</w:t>
      </w:r>
      <w:r w:rsidRPr="003A3B7A">
        <w:rPr>
          <w:i/>
          <w:iCs/>
          <w:noProof/>
          <w:sz w:val="22"/>
          <w:lang w:val="fr-BE" w:eastAsia="en-GB"/>
        </w:rPr>
        <w:t xml:space="preserve">Projet de loi 8625 sur les médias et portant organisation de l’Autorité luxembourgeoise indépendante des médias et portant mise en œuvre du </w:t>
      </w:r>
      <w:r w:rsidRPr="003A3B7A">
        <w:rPr>
          <w:noProof/>
          <w:sz w:val="22"/>
          <w:lang w:val="fr-BE" w:eastAsia="en-GB"/>
        </w:rPr>
        <w:t xml:space="preserve">[…]), 30 September 2025, </w:t>
      </w:r>
      <w:hyperlink r:id="rId32" w:history="1">
        <w:r w:rsidRPr="003A3B7A">
          <w:rPr>
            <w:rStyle w:val="Hyperlink"/>
            <w:noProof/>
            <w:sz w:val="22"/>
            <w:lang w:val="fr-BE" w:eastAsia="en-GB"/>
          </w:rPr>
          <w:t>https://www.chd.lu/de/dossier/8625</w:t>
        </w:r>
      </w:hyperlink>
      <w:r w:rsidR="007906BF" w:rsidRPr="00567811">
        <w:rPr>
          <w:noProof/>
          <w:sz w:val="22"/>
          <w:lang w:val="fr-FR" w:eastAsia="en-GB"/>
        </w:rPr>
        <w:t>.</w:t>
      </w:r>
    </w:p>
    <w:p w14:paraId="2A0C9B6E" w14:textId="49DC2620" w:rsidR="00E53886" w:rsidRPr="00933766" w:rsidRDefault="00E53886" w:rsidP="00E53886">
      <w:pPr>
        <w:spacing w:after="120"/>
        <w:rPr>
          <w:noProof/>
          <w:sz w:val="22"/>
          <w:lang w:val="fr-BE" w:eastAsia="en-GB"/>
        </w:rPr>
      </w:pPr>
      <w:r w:rsidRPr="003A3B7A">
        <w:rPr>
          <w:noProof/>
          <w:sz w:val="22"/>
          <w:lang w:eastAsia="en-GB"/>
        </w:rPr>
        <w:t xml:space="preserve">Chamber of Deputies (2025d), Can citizen participation be institutionalised? </w:t>
      </w:r>
      <w:r w:rsidRPr="00933766">
        <w:rPr>
          <w:noProof/>
          <w:sz w:val="22"/>
          <w:lang w:val="fr-BE" w:eastAsia="en-GB"/>
        </w:rPr>
        <w:t>(</w:t>
      </w:r>
      <w:r w:rsidRPr="00933766">
        <w:rPr>
          <w:i/>
          <w:iCs/>
          <w:noProof/>
          <w:sz w:val="22"/>
          <w:lang w:val="fr-BE" w:eastAsia="en-GB"/>
        </w:rPr>
        <w:t>La participation citoyenne peut-elle être institutionnalisée ?</w:t>
      </w:r>
      <w:r w:rsidRPr="003A3B7A">
        <w:rPr>
          <w:noProof/>
          <w:sz w:val="22"/>
          <w:lang w:val="fr-BE" w:eastAsia="en-GB"/>
        </w:rPr>
        <w:t>)</w:t>
      </w:r>
      <w:r w:rsidRPr="00933766">
        <w:rPr>
          <w:noProof/>
          <w:sz w:val="22"/>
          <w:lang w:val="fr-BE" w:eastAsia="en-GB"/>
        </w:rPr>
        <w:t xml:space="preserve">, 28 October 2025, </w:t>
      </w:r>
      <w:hyperlink r:id="rId33" w:history="1">
        <w:r w:rsidRPr="00933766">
          <w:rPr>
            <w:rStyle w:val="Hyperlink"/>
            <w:noProof/>
            <w:sz w:val="22"/>
            <w:lang w:val="fr-BE" w:eastAsia="en-GB"/>
          </w:rPr>
          <w:t>https://www.chd.lu/fr/note-scientifique-participation-citoyenne</w:t>
        </w:r>
      </w:hyperlink>
      <w:r w:rsidR="007906BF" w:rsidRPr="000F1B41">
        <w:rPr>
          <w:noProof/>
          <w:sz w:val="22"/>
          <w:lang w:val="fr-BE" w:eastAsia="en-GB"/>
        </w:rPr>
        <w:t>.</w:t>
      </w:r>
      <w:r w:rsidRPr="00933766">
        <w:rPr>
          <w:noProof/>
          <w:sz w:val="22"/>
          <w:lang w:val="fr-BE" w:eastAsia="en-GB"/>
        </w:rPr>
        <w:t xml:space="preserve"> </w:t>
      </w:r>
    </w:p>
    <w:p w14:paraId="40B3A3E7" w14:textId="7543062A" w:rsidR="00E53886" w:rsidRPr="003A3B7A" w:rsidRDefault="00E53886" w:rsidP="00E53886">
      <w:pPr>
        <w:spacing w:after="120"/>
        <w:rPr>
          <w:noProof/>
          <w:sz w:val="22"/>
          <w:lang w:val="fr-BE" w:eastAsia="en-GB"/>
        </w:rPr>
      </w:pPr>
      <w:r w:rsidRPr="00933766">
        <w:rPr>
          <w:noProof/>
          <w:sz w:val="22"/>
          <w:lang w:val="fr-BE" w:eastAsia="en-GB"/>
        </w:rPr>
        <w:t>Chamber of Deputies (2025</w:t>
      </w:r>
      <w:r w:rsidRPr="003A3B7A">
        <w:rPr>
          <w:noProof/>
          <w:sz w:val="22"/>
          <w:lang w:val="fr-BE" w:eastAsia="en-GB"/>
        </w:rPr>
        <w:t>e</w:t>
      </w:r>
      <w:r w:rsidRPr="00933766">
        <w:rPr>
          <w:noProof/>
          <w:sz w:val="22"/>
          <w:lang w:val="fr-BE" w:eastAsia="en-GB"/>
        </w:rPr>
        <w:t>), Resolution on the professionalisation of the Consultative Commission on Human Rights (</w:t>
      </w:r>
      <w:r w:rsidRPr="00933766">
        <w:rPr>
          <w:i/>
          <w:iCs/>
          <w:noProof/>
          <w:sz w:val="22"/>
          <w:lang w:val="fr-BE" w:eastAsia="en-GB"/>
        </w:rPr>
        <w:t>Résolution relative à la professionnalisation de la Commission consultative des Droits de l'Homme</w:t>
      </w:r>
      <w:r w:rsidRPr="003A3B7A">
        <w:rPr>
          <w:noProof/>
          <w:sz w:val="22"/>
          <w:lang w:val="fr-BE" w:eastAsia="en-GB"/>
        </w:rPr>
        <w:t>)</w:t>
      </w:r>
      <w:r w:rsidRPr="00933766">
        <w:rPr>
          <w:noProof/>
          <w:sz w:val="22"/>
          <w:lang w:val="fr-BE" w:eastAsia="en-GB"/>
        </w:rPr>
        <w:t xml:space="preserve">, 29 October 2025, </w:t>
      </w:r>
      <w:hyperlink r:id="rId34" w:history="1">
        <w:r w:rsidRPr="00933766">
          <w:rPr>
            <w:rStyle w:val="Hyperlink"/>
            <w:noProof/>
            <w:sz w:val="22"/>
            <w:lang w:val="fr-BE" w:eastAsia="en-GB"/>
          </w:rPr>
          <w:t>https://wdocs-pub.chd.lu/docs/Motions_Resolutions/Resolution_4635/20251029_Depot.pdf</w:t>
        </w:r>
      </w:hyperlink>
      <w:r w:rsidR="007906BF" w:rsidRPr="000F1B41">
        <w:rPr>
          <w:noProof/>
          <w:sz w:val="22"/>
          <w:lang w:val="fr-BE" w:eastAsia="en-GB"/>
        </w:rPr>
        <w:t>.</w:t>
      </w:r>
      <w:r w:rsidRPr="00933766">
        <w:rPr>
          <w:noProof/>
          <w:sz w:val="22"/>
          <w:lang w:val="fr-BE" w:eastAsia="en-GB"/>
        </w:rPr>
        <w:t xml:space="preserve"> </w:t>
      </w:r>
    </w:p>
    <w:p w14:paraId="46A39FB2" w14:textId="77777777" w:rsidR="00E53886" w:rsidRPr="003A3B7A" w:rsidRDefault="00E53886" w:rsidP="00E53886">
      <w:pPr>
        <w:spacing w:after="120"/>
        <w:rPr>
          <w:noProof/>
          <w:sz w:val="22"/>
          <w:lang w:eastAsia="en-GB"/>
        </w:rPr>
      </w:pPr>
      <w:r w:rsidRPr="003A3B7A">
        <w:rPr>
          <w:noProof/>
          <w:sz w:val="22"/>
          <w:lang w:eastAsia="en-GB"/>
        </w:rPr>
        <w:t xml:space="preserve">Chamber of Deputies (2026a), </w:t>
      </w:r>
      <w:r w:rsidRPr="00933766">
        <w:rPr>
          <w:i/>
          <w:iCs/>
          <w:noProof/>
          <w:sz w:val="22"/>
          <w:lang w:eastAsia="en-GB"/>
        </w:rPr>
        <w:t>additional written input from the Chamber of Deputies for the 2026 Rule of Law Report</w:t>
      </w:r>
      <w:r w:rsidRPr="003A3B7A">
        <w:rPr>
          <w:noProof/>
          <w:sz w:val="22"/>
          <w:lang w:eastAsia="en-GB"/>
        </w:rPr>
        <w:t>.</w:t>
      </w:r>
    </w:p>
    <w:p w14:paraId="0E325425" w14:textId="1D755B96" w:rsidR="00E53886" w:rsidRPr="003A3B7A" w:rsidRDefault="00E53886" w:rsidP="00E53886">
      <w:pPr>
        <w:spacing w:after="120"/>
        <w:rPr>
          <w:noProof/>
          <w:sz w:val="22"/>
          <w:lang w:val="fr-BE" w:eastAsia="en-GB"/>
        </w:rPr>
      </w:pPr>
      <w:r w:rsidRPr="00933766">
        <w:rPr>
          <w:noProof/>
          <w:sz w:val="22"/>
          <w:lang w:val="fr-BE" w:eastAsia="en-GB"/>
        </w:rPr>
        <w:t>Chamber of Deputies (2026b), Rules of Procedure (</w:t>
      </w:r>
      <w:r w:rsidRPr="00933766">
        <w:rPr>
          <w:i/>
          <w:iCs/>
          <w:noProof/>
          <w:sz w:val="22"/>
          <w:lang w:val="fr-BE" w:eastAsia="en-GB"/>
        </w:rPr>
        <w:t>Règlement de la Chambre des Députés</w:t>
      </w:r>
      <w:r w:rsidRPr="00933766">
        <w:rPr>
          <w:noProof/>
          <w:sz w:val="22"/>
          <w:lang w:val="fr-BE" w:eastAsia="en-GB"/>
        </w:rPr>
        <w:t xml:space="preserve">), </w:t>
      </w:r>
      <w:r w:rsidRPr="003A3B7A">
        <w:rPr>
          <w:noProof/>
          <w:sz w:val="22"/>
          <w:lang w:val="fr-BE" w:eastAsia="en-GB"/>
        </w:rPr>
        <w:t xml:space="preserve">21 January 2026, </w:t>
      </w:r>
      <w:hyperlink r:id="rId35" w:history="1">
        <w:r w:rsidRPr="00933766">
          <w:rPr>
            <w:rStyle w:val="Hyperlink"/>
            <w:noProof/>
            <w:sz w:val="22"/>
            <w:lang w:val="fr-BE" w:eastAsia="en-GB"/>
          </w:rPr>
          <w:t>https://www.chd.lu/sites/default/files/2026-02/reglement-chd-21-01-2026_.pdf</w:t>
        </w:r>
      </w:hyperlink>
      <w:r w:rsidR="007906BF" w:rsidRPr="000F1B41">
        <w:rPr>
          <w:noProof/>
          <w:sz w:val="22"/>
          <w:lang w:val="fr-BE" w:eastAsia="en-GB"/>
        </w:rPr>
        <w:t>.</w:t>
      </w:r>
      <w:r w:rsidRPr="00933766">
        <w:rPr>
          <w:noProof/>
          <w:sz w:val="22"/>
          <w:lang w:val="fr-BE" w:eastAsia="en-GB"/>
        </w:rPr>
        <w:t xml:space="preserve"> </w:t>
      </w:r>
    </w:p>
    <w:p w14:paraId="3BD2D92C" w14:textId="67D94538" w:rsidR="00E53886" w:rsidRDefault="00E53886" w:rsidP="00E53886">
      <w:pPr>
        <w:spacing w:after="120"/>
        <w:rPr>
          <w:noProof/>
          <w:sz w:val="22"/>
          <w:lang w:val="fr-BE" w:eastAsia="en-GB"/>
        </w:rPr>
      </w:pPr>
      <w:r w:rsidRPr="003A3B7A">
        <w:rPr>
          <w:noProof/>
          <w:sz w:val="22"/>
          <w:lang w:val="fr-BE" w:eastAsia="en-GB"/>
        </w:rPr>
        <w:t xml:space="preserve">Chamber of Deputies (2026c), </w:t>
      </w:r>
      <w:r w:rsidRPr="00933766">
        <w:rPr>
          <w:noProof/>
          <w:sz w:val="22"/>
          <w:lang w:val="fr-BE" w:eastAsia="en-GB"/>
        </w:rPr>
        <w:t>Draft law</w:t>
      </w:r>
      <w:r w:rsidRPr="003A3B7A">
        <w:rPr>
          <w:noProof/>
          <w:sz w:val="22"/>
          <w:lang w:val="fr-BE" w:eastAsia="en-GB"/>
        </w:rPr>
        <w:t xml:space="preserve"> 8694 amending the amended Law of 7 November 1996 organising the administrative courts, with a view to establishing an asylum and immigration tribunal</w:t>
      </w:r>
      <w:r w:rsidRPr="00933766">
        <w:rPr>
          <w:noProof/>
          <w:sz w:val="22"/>
          <w:lang w:val="fr-BE" w:eastAsia="en-GB"/>
        </w:rPr>
        <w:t xml:space="preserve"> (</w:t>
      </w:r>
      <w:r w:rsidRPr="00933766">
        <w:rPr>
          <w:i/>
          <w:iCs/>
          <w:noProof/>
          <w:sz w:val="22"/>
          <w:lang w:val="fr-BE" w:eastAsia="en-GB"/>
        </w:rPr>
        <w:t>Projet de loi portant modification de la loi modifiée du 7 novembre 1996 portant organisation des juridictions administratives en vue d’instituer un tribunal d’asile et d’immigration</w:t>
      </w:r>
      <w:r w:rsidRPr="003A3B7A">
        <w:rPr>
          <w:noProof/>
          <w:sz w:val="22"/>
          <w:lang w:val="fr-BE" w:eastAsia="en-GB"/>
        </w:rPr>
        <w:t xml:space="preserve">), 29 January 2026, </w:t>
      </w:r>
      <w:hyperlink r:id="rId36" w:history="1">
        <w:r w:rsidRPr="003A3B7A">
          <w:rPr>
            <w:rStyle w:val="Hyperlink"/>
            <w:noProof/>
            <w:sz w:val="22"/>
            <w:lang w:val="fr-BE" w:eastAsia="en-GB"/>
          </w:rPr>
          <w:t>https://www.chd.lu/en/dossier/8694</w:t>
        </w:r>
      </w:hyperlink>
      <w:r w:rsidR="007906BF" w:rsidRPr="000F1B41">
        <w:rPr>
          <w:noProof/>
          <w:sz w:val="22"/>
          <w:lang w:val="fr-BE" w:eastAsia="en-GB"/>
        </w:rPr>
        <w:t>.</w:t>
      </w:r>
      <w:r w:rsidRPr="003A3B7A">
        <w:rPr>
          <w:noProof/>
          <w:sz w:val="22"/>
          <w:lang w:val="fr-BE" w:eastAsia="en-GB"/>
        </w:rPr>
        <w:t xml:space="preserve"> </w:t>
      </w:r>
    </w:p>
    <w:p w14:paraId="22E23CA3" w14:textId="57E2C5B9" w:rsidR="00E53886" w:rsidRDefault="00E53886" w:rsidP="00E53886">
      <w:pPr>
        <w:spacing w:after="120"/>
        <w:rPr>
          <w:noProof/>
          <w:sz w:val="22"/>
          <w:lang w:val="fr-BE" w:eastAsia="en-GB"/>
        </w:rPr>
      </w:pPr>
      <w:r w:rsidRPr="006409E6">
        <w:rPr>
          <w:noProof/>
          <w:sz w:val="22"/>
          <w:lang w:val="fr-BE" w:eastAsia="en-GB"/>
        </w:rPr>
        <w:t>Chamber of Deputies (2026d), D</w:t>
      </w:r>
      <w:r w:rsidRPr="00D007DA">
        <w:rPr>
          <w:noProof/>
          <w:sz w:val="22"/>
          <w:lang w:val="fr-BE" w:eastAsia="en-GB"/>
        </w:rPr>
        <w:t>raft law 8696 to transpose Directive (EU) 2024/1069 of the European Parliament and of the Council of 11 April 2024 who engage in public participation from manifestly unfounded claims or abusive court proceedings (‘Strategic lawsuits against public participation’) (</w:t>
      </w:r>
      <w:r w:rsidRPr="00D007DA">
        <w:rPr>
          <w:i/>
          <w:iCs/>
          <w:noProof/>
          <w:sz w:val="22"/>
          <w:lang w:val="fr-BE" w:eastAsia="en-GB"/>
        </w:rPr>
        <w:t>Projet de loi portant transposition de la Directive (UE) 2024/1069 du Parlement européen et du Conseil du 11 avril 2024 sur la protection des personnes qui participent au débat public contre les demandes en justice manifestement infondées ou les procédures abusives (« poursuites stratégiques altérant le débat public</w:t>
      </w:r>
      <w:r w:rsidRPr="006409E6">
        <w:rPr>
          <w:noProof/>
          <w:sz w:val="22"/>
          <w:lang w:val="fr-BE" w:eastAsia="en-GB"/>
        </w:rPr>
        <w:t>)</w:t>
      </w:r>
      <w:r>
        <w:rPr>
          <w:noProof/>
          <w:sz w:val="22"/>
          <w:lang w:val="fr-BE" w:eastAsia="en-GB"/>
        </w:rPr>
        <w:t xml:space="preserve">, 29 January 2026, </w:t>
      </w:r>
      <w:hyperlink r:id="rId37" w:history="1">
        <w:r w:rsidRPr="001D3AE0">
          <w:rPr>
            <w:rStyle w:val="Hyperlink"/>
            <w:noProof/>
            <w:sz w:val="22"/>
            <w:lang w:val="fr-BE" w:eastAsia="en-GB"/>
          </w:rPr>
          <w:t>https://www.chd.lu/en/dossier/8696</w:t>
        </w:r>
      </w:hyperlink>
      <w:r w:rsidR="007906BF" w:rsidRPr="00385C31">
        <w:rPr>
          <w:noProof/>
          <w:sz w:val="22"/>
          <w:lang w:val="fr-BE" w:eastAsia="en-GB"/>
        </w:rPr>
        <w:t>.</w:t>
      </w:r>
    </w:p>
    <w:p w14:paraId="5C3CEFE9" w14:textId="77777777" w:rsidR="00E53886" w:rsidRPr="003A3B7A" w:rsidRDefault="00E53886" w:rsidP="00E53886">
      <w:pPr>
        <w:spacing w:after="120"/>
        <w:rPr>
          <w:noProof/>
          <w:sz w:val="22"/>
        </w:rPr>
      </w:pPr>
      <w:r w:rsidRPr="003A3B7A">
        <w:rPr>
          <w:noProof/>
          <w:sz w:val="22"/>
        </w:rPr>
        <w:t xml:space="preserve">Committee of Deontology (2026a), </w:t>
      </w:r>
      <w:r w:rsidRPr="00933766">
        <w:rPr>
          <w:i/>
          <w:iCs/>
          <w:noProof/>
          <w:sz w:val="22"/>
        </w:rPr>
        <w:t>Input from the Committee of Deontology for the 2026 Rule of Law Report</w:t>
      </w:r>
      <w:r w:rsidRPr="003A3B7A">
        <w:rPr>
          <w:noProof/>
          <w:sz w:val="22"/>
        </w:rPr>
        <w:t>.</w:t>
      </w:r>
    </w:p>
    <w:p w14:paraId="28CCAE6A" w14:textId="5173078B" w:rsidR="00E53886" w:rsidRPr="00933766" w:rsidRDefault="00E53886" w:rsidP="00E53886">
      <w:pPr>
        <w:spacing w:after="120"/>
        <w:rPr>
          <w:noProof/>
          <w:sz w:val="22"/>
          <w:lang w:val="fr-BE" w:eastAsia="en-GB"/>
        </w:rPr>
      </w:pPr>
      <w:r w:rsidRPr="00933766">
        <w:rPr>
          <w:noProof/>
          <w:sz w:val="22"/>
          <w:lang w:val="fr-BE"/>
        </w:rPr>
        <w:t>Committee of Deontology</w:t>
      </w:r>
      <w:r w:rsidRPr="00933766">
        <w:rPr>
          <w:noProof/>
          <w:sz w:val="22"/>
          <w:lang w:val="fr-BE" w:eastAsia="en-GB"/>
        </w:rPr>
        <w:t xml:space="preserve"> (2026b), 2025 Activities Report (</w:t>
      </w:r>
      <w:r w:rsidRPr="00933766">
        <w:rPr>
          <w:i/>
          <w:iCs/>
          <w:noProof/>
          <w:sz w:val="22"/>
          <w:lang w:val="fr-BE" w:eastAsia="en-GB"/>
        </w:rPr>
        <w:t>Rapport d’activités du Comité de déontologie</w:t>
      </w:r>
      <w:r w:rsidRPr="003A3B7A">
        <w:rPr>
          <w:noProof/>
          <w:sz w:val="22"/>
          <w:lang w:val="fr-BE" w:eastAsia="en-GB"/>
        </w:rPr>
        <w:t>)</w:t>
      </w:r>
      <w:r w:rsidRPr="00933766">
        <w:rPr>
          <w:noProof/>
          <w:sz w:val="22"/>
          <w:lang w:val="fr-BE" w:eastAsia="en-GB"/>
        </w:rPr>
        <w:t xml:space="preserve">, 12 February 2026, </w:t>
      </w:r>
      <w:hyperlink r:id="rId38" w:history="1">
        <w:r w:rsidRPr="00933766">
          <w:rPr>
            <w:rStyle w:val="Hyperlink"/>
            <w:noProof/>
            <w:sz w:val="22"/>
            <w:lang w:val="fr-BE" w:eastAsia="en-GB"/>
          </w:rPr>
          <w:t>https://gouvernement.lu/dam-assets/systeme-politique/gouvernement/comite-ethique/rapport-annuel/20260122-cd-rapport-annuel.pdf</w:t>
        </w:r>
      </w:hyperlink>
      <w:r w:rsidR="007906BF" w:rsidRPr="000F1B41">
        <w:rPr>
          <w:noProof/>
          <w:sz w:val="22"/>
          <w:lang w:val="fr-BE" w:eastAsia="en-GB"/>
        </w:rPr>
        <w:t>.</w:t>
      </w:r>
      <w:r w:rsidRPr="00933766">
        <w:rPr>
          <w:noProof/>
          <w:sz w:val="22"/>
          <w:lang w:val="fr-BE" w:eastAsia="en-GB"/>
        </w:rPr>
        <w:t xml:space="preserve"> </w:t>
      </w:r>
    </w:p>
    <w:p w14:paraId="4F4BDA25" w14:textId="4317C6F5" w:rsidR="00E53886" w:rsidRPr="007F3F85" w:rsidRDefault="00E53886" w:rsidP="00E53886">
      <w:pPr>
        <w:spacing w:after="120"/>
        <w:rPr>
          <w:noProof/>
          <w:sz w:val="22"/>
          <w:lang w:val="en-IE" w:eastAsia="fr-FR"/>
        </w:rPr>
      </w:pPr>
      <w:r w:rsidRPr="007F3F85">
        <w:rPr>
          <w:noProof/>
          <w:sz w:val="22"/>
          <w:lang w:eastAsia="fr-FR"/>
        </w:rPr>
        <w:t xml:space="preserve">Council of Europe (2026), </w:t>
      </w:r>
      <w:r w:rsidRPr="007F3F85">
        <w:rPr>
          <w:i/>
          <w:iCs/>
          <w:noProof/>
          <w:sz w:val="22"/>
          <w:lang w:eastAsia="fr-FR"/>
        </w:rPr>
        <w:t>Supervision of the execution of judgments decisions of the European Court of Human Rights – 19th Annual Report of the Committee of Ministers – 2025,</w:t>
      </w:r>
      <w:r w:rsidRPr="007F3F85">
        <w:rPr>
          <w:noProof/>
          <w:sz w:val="22"/>
          <w:lang w:eastAsia="fr-FR"/>
        </w:rPr>
        <w:t xml:space="preserve"> </w:t>
      </w:r>
      <w:hyperlink r:id="rId39" w:history="1">
        <w:r w:rsidRPr="007F3F85">
          <w:rPr>
            <w:rStyle w:val="Hyperlink"/>
            <w:noProof/>
            <w:sz w:val="22"/>
            <w:lang w:val="en-IE" w:eastAsia="fr-FR"/>
          </w:rPr>
          <w:t>https://rm.coe.int/2025-annual-report/48802b1633</w:t>
        </w:r>
      </w:hyperlink>
      <w:r w:rsidR="007906BF" w:rsidRPr="006536D8">
        <w:rPr>
          <w:noProof/>
          <w:sz w:val="22"/>
          <w:lang w:eastAsia="en-GB"/>
        </w:rPr>
        <w:t>.</w:t>
      </w:r>
    </w:p>
    <w:p w14:paraId="2BFC9BC7" w14:textId="360E0EE9" w:rsidR="00E53886" w:rsidRPr="00933766" w:rsidRDefault="00E53886" w:rsidP="00E53886">
      <w:pPr>
        <w:spacing w:after="120"/>
        <w:rPr>
          <w:noProof/>
          <w:sz w:val="22"/>
          <w:lang w:val="fr-BE" w:eastAsia="en-GB"/>
        </w:rPr>
      </w:pPr>
      <w:r w:rsidRPr="00933766">
        <w:rPr>
          <w:noProof/>
          <w:sz w:val="22"/>
          <w:lang w:val="fr-BE" w:eastAsia="en-GB"/>
        </w:rPr>
        <w:t>Council of State (2024), Opinion on the draft law proposing amendments to the modified Municipal Law of 13 December 1988; The Criminal Code; and the modified Law 19 July 2004 on Municipal Planning and Urban Development, 12 November 2024 (</w:t>
      </w:r>
      <w:r w:rsidRPr="00933766">
        <w:rPr>
          <w:i/>
          <w:iCs/>
          <w:noProof/>
          <w:sz w:val="22"/>
          <w:lang w:val="fr-BE" w:eastAsia="en-GB"/>
        </w:rPr>
        <w:t xml:space="preserve">Avis concernant </w:t>
      </w:r>
      <w:r w:rsidRPr="003A3B7A">
        <w:rPr>
          <w:i/>
          <w:iCs/>
          <w:noProof/>
          <w:sz w:val="22"/>
          <w:lang w:val="fr-BE" w:eastAsia="en-GB"/>
        </w:rPr>
        <w:t>le p</w:t>
      </w:r>
      <w:r w:rsidRPr="00933766">
        <w:rPr>
          <w:i/>
          <w:iCs/>
          <w:noProof/>
          <w:sz w:val="22"/>
          <w:lang w:val="fr-BE" w:eastAsia="en-GB"/>
        </w:rPr>
        <w:t xml:space="preserve">rojet de loi portant modification : de la loi communale modifiée du 13 décembre 1988 ;du Code pénal ; </w:t>
      </w:r>
      <w:r w:rsidRPr="003A3B7A">
        <w:rPr>
          <w:i/>
          <w:iCs/>
          <w:noProof/>
          <w:sz w:val="22"/>
          <w:lang w:val="fr-BE" w:eastAsia="en-GB"/>
        </w:rPr>
        <w:t xml:space="preserve">et </w:t>
      </w:r>
      <w:r w:rsidRPr="00933766">
        <w:rPr>
          <w:i/>
          <w:iCs/>
          <w:noProof/>
          <w:sz w:val="22"/>
          <w:lang w:val="fr-BE" w:eastAsia="en-GB"/>
        </w:rPr>
        <w:t>de la loi modifiée du 19 juillet 2004 sur l’aménagement communal et le développement urbain</w:t>
      </w:r>
      <w:r w:rsidRPr="003A3B7A">
        <w:rPr>
          <w:noProof/>
          <w:sz w:val="22"/>
          <w:lang w:val="fr-BE" w:eastAsia="en-GB"/>
        </w:rPr>
        <w:t>)</w:t>
      </w:r>
      <w:r w:rsidRPr="00933766">
        <w:rPr>
          <w:noProof/>
          <w:sz w:val="22"/>
          <w:lang w:val="fr-BE" w:eastAsia="en-GB"/>
        </w:rPr>
        <w:t xml:space="preserve">, </w:t>
      </w:r>
      <w:r w:rsidRPr="003A3B7A">
        <w:rPr>
          <w:noProof/>
          <w:sz w:val="22"/>
          <w:lang w:val="fr-BE" w:eastAsia="en-GB"/>
        </w:rPr>
        <w:t xml:space="preserve">12 November 2024, </w:t>
      </w:r>
      <w:hyperlink r:id="rId40" w:history="1">
        <w:r w:rsidRPr="00933766">
          <w:rPr>
            <w:rStyle w:val="Hyperlink"/>
            <w:noProof/>
            <w:sz w:val="22"/>
            <w:lang w:val="fr-BE" w:eastAsia="en-GB"/>
          </w:rPr>
          <w:t>https://conseil-etat.public.lu/content/dam/conseil_etat/fr/avis/2024/12112024/61112-avis-du-12-novembre-2024.pdf</w:t>
        </w:r>
      </w:hyperlink>
      <w:r w:rsidR="007906BF" w:rsidRPr="000F1B41">
        <w:rPr>
          <w:noProof/>
          <w:sz w:val="22"/>
          <w:lang w:val="fr-BE" w:eastAsia="en-GB"/>
        </w:rPr>
        <w:t>.</w:t>
      </w:r>
    </w:p>
    <w:p w14:paraId="02EF6F5D" w14:textId="79658500" w:rsidR="00205C0F" w:rsidRDefault="00205C0F" w:rsidP="00205C0F">
      <w:pPr>
        <w:spacing w:after="120"/>
        <w:rPr>
          <w:noProof/>
          <w:sz w:val="22"/>
          <w:lang w:val="fr-BE" w:eastAsia="en-GB"/>
        </w:rPr>
      </w:pPr>
      <w:r w:rsidRPr="00933766">
        <w:rPr>
          <w:noProof/>
          <w:sz w:val="22"/>
          <w:lang w:val="fr-BE" w:eastAsia="en-GB"/>
        </w:rPr>
        <w:t>Council of State (202</w:t>
      </w:r>
      <w:r>
        <w:rPr>
          <w:noProof/>
          <w:sz w:val="22"/>
          <w:lang w:val="fr-BE" w:eastAsia="en-GB"/>
        </w:rPr>
        <w:t>5a</w:t>
      </w:r>
      <w:r w:rsidRPr="00933766">
        <w:rPr>
          <w:noProof/>
          <w:sz w:val="22"/>
          <w:lang w:val="fr-BE" w:eastAsia="en-GB"/>
        </w:rPr>
        <w:t>), Opinion on the draft law proposing amendments to the modified law of 7 June 2012 on attachés de justice to revise recruitment, professional training, and provisional service (</w:t>
      </w:r>
      <w:r w:rsidRPr="003A3B7A">
        <w:rPr>
          <w:i/>
          <w:iCs/>
          <w:noProof/>
          <w:sz w:val="22"/>
          <w:lang w:val="fr-BE" w:eastAsia="en-GB"/>
        </w:rPr>
        <w:t xml:space="preserve">Avis concernant le projet de loi portant modification </w:t>
      </w:r>
      <w:r w:rsidRPr="00933766">
        <w:rPr>
          <w:i/>
          <w:iCs/>
          <w:noProof/>
          <w:sz w:val="22"/>
          <w:lang w:val="fr-BE" w:eastAsia="en-GB"/>
        </w:rPr>
        <w:t xml:space="preserve">de la loi modifiée du 7 juin 2012 sur les attachés de justice en vue de réviser le recrutement, la formation professionnelle et le service </w:t>
      </w:r>
      <w:r w:rsidRPr="003A3B7A">
        <w:rPr>
          <w:i/>
          <w:iCs/>
          <w:noProof/>
          <w:sz w:val="22"/>
          <w:lang w:val="fr-BE" w:eastAsia="en-GB"/>
        </w:rPr>
        <w:t>provisoire</w:t>
      </w:r>
      <w:r w:rsidRPr="003A3B7A">
        <w:rPr>
          <w:noProof/>
          <w:sz w:val="22"/>
          <w:lang w:val="fr-BE" w:eastAsia="en-GB"/>
        </w:rPr>
        <w:t>)</w:t>
      </w:r>
      <w:r w:rsidRPr="00933766">
        <w:rPr>
          <w:noProof/>
          <w:sz w:val="22"/>
          <w:lang w:val="fr-BE" w:eastAsia="en-GB"/>
        </w:rPr>
        <w:t>, 13 May 2025,</w:t>
      </w:r>
      <w:r w:rsidRPr="003A3B7A">
        <w:rPr>
          <w:noProof/>
          <w:sz w:val="22"/>
          <w:lang w:val="fr-BE" w:eastAsia="en-GB"/>
        </w:rPr>
        <w:t xml:space="preserve"> </w:t>
      </w:r>
      <w:hyperlink r:id="rId41" w:history="1">
        <w:r w:rsidRPr="00933766">
          <w:rPr>
            <w:rStyle w:val="Hyperlink"/>
            <w:noProof/>
            <w:sz w:val="22"/>
            <w:lang w:val="fr-BE" w:eastAsia="en-GB"/>
          </w:rPr>
          <w:t>https://legilux.public.lu/filestore/eli/dl/pl/2025/38/evenement/avce/1/doc/davce/1/fr/pdf/eli-dl-pl-2025-38-evenement-avce-1-doc-davce-1-fr-pdf.pdf</w:t>
        </w:r>
      </w:hyperlink>
      <w:r w:rsidR="007906BF" w:rsidRPr="000F1B41">
        <w:rPr>
          <w:noProof/>
          <w:sz w:val="22"/>
          <w:lang w:val="fr-BE" w:eastAsia="en-GB"/>
        </w:rPr>
        <w:t>.</w:t>
      </w:r>
      <w:r w:rsidRPr="00933766">
        <w:rPr>
          <w:noProof/>
          <w:sz w:val="22"/>
          <w:lang w:val="fr-BE" w:eastAsia="en-GB"/>
        </w:rPr>
        <w:t xml:space="preserve"> </w:t>
      </w:r>
    </w:p>
    <w:p w14:paraId="14F0EF12" w14:textId="7F0ADE70" w:rsidR="00E53886" w:rsidRPr="003A3B7A" w:rsidRDefault="00E53886" w:rsidP="00E53886">
      <w:pPr>
        <w:spacing w:after="120"/>
        <w:rPr>
          <w:noProof/>
          <w:sz w:val="22"/>
          <w:lang w:val="fr-BE" w:eastAsia="en-GB"/>
        </w:rPr>
      </w:pPr>
      <w:r w:rsidRPr="00933766">
        <w:rPr>
          <w:noProof/>
          <w:sz w:val="22"/>
          <w:lang w:val="en-IE" w:eastAsia="en-GB"/>
        </w:rPr>
        <w:t>Council of State (2025</w:t>
      </w:r>
      <w:r w:rsidR="00205C0F">
        <w:rPr>
          <w:noProof/>
          <w:sz w:val="22"/>
          <w:lang w:val="en-IE" w:eastAsia="en-GB"/>
        </w:rPr>
        <w:t>b</w:t>
      </w:r>
      <w:r w:rsidRPr="00933766">
        <w:rPr>
          <w:noProof/>
          <w:sz w:val="22"/>
          <w:lang w:val="en-IE" w:eastAsia="en-GB"/>
        </w:rPr>
        <w:t xml:space="preserve">), Draft </w:t>
      </w:r>
      <w:r w:rsidRPr="003A3B7A">
        <w:rPr>
          <w:noProof/>
          <w:sz w:val="22"/>
          <w:lang w:val="en-IE" w:eastAsia="en-GB"/>
        </w:rPr>
        <w:t>law</w:t>
      </w:r>
      <w:r w:rsidRPr="00933766">
        <w:rPr>
          <w:noProof/>
          <w:sz w:val="22"/>
          <w:lang w:val="en-IE" w:eastAsia="en-GB"/>
        </w:rPr>
        <w:t xml:space="preserve"> concerning the financial governance of organisations and foundations managing public funds and amending</w:t>
      </w:r>
      <w:r w:rsidRPr="003A3B7A">
        <w:rPr>
          <w:noProof/>
          <w:sz w:val="22"/>
          <w:lang w:val="en-IE" w:eastAsia="en-GB"/>
        </w:rPr>
        <w:t xml:space="preserve"> […] </w:t>
      </w:r>
      <w:r w:rsidRPr="00933766">
        <w:rPr>
          <w:noProof/>
          <w:sz w:val="22"/>
          <w:lang w:val="fr-BE" w:eastAsia="en-GB"/>
        </w:rPr>
        <w:t>(</w:t>
      </w:r>
      <w:r w:rsidRPr="00933766">
        <w:rPr>
          <w:i/>
          <w:iCs/>
          <w:noProof/>
          <w:sz w:val="22"/>
          <w:lang w:val="fr-BE" w:eastAsia="en-GB"/>
        </w:rPr>
        <w:t>Avis concernant la proposition de loi concernant la gouvernance financière d’organisations et fondations gérant des deniers publics et modifiant</w:t>
      </w:r>
      <w:r w:rsidRPr="003A3B7A">
        <w:rPr>
          <w:noProof/>
          <w:sz w:val="22"/>
          <w:lang w:val="fr-BE" w:eastAsia="en-GB"/>
        </w:rPr>
        <w:t xml:space="preserve"> […]), 2 December 2025, </w:t>
      </w:r>
      <w:hyperlink r:id="rId42" w:history="1">
        <w:r w:rsidRPr="003A3B7A">
          <w:rPr>
            <w:rStyle w:val="Hyperlink"/>
            <w:noProof/>
            <w:sz w:val="22"/>
            <w:lang w:val="fr-BE" w:eastAsia="en-GB"/>
          </w:rPr>
          <w:t>https://wdocs-pub.chd.lu/docs/Dossiers_parlementaires/8447/20251202_Avis_2.pdf</w:t>
        </w:r>
      </w:hyperlink>
      <w:r w:rsidR="007906BF" w:rsidRPr="000F1B41">
        <w:rPr>
          <w:noProof/>
          <w:sz w:val="22"/>
          <w:lang w:val="fr-BE" w:eastAsia="en-GB"/>
        </w:rPr>
        <w:t>.</w:t>
      </w:r>
      <w:r w:rsidRPr="003A3B7A">
        <w:rPr>
          <w:noProof/>
          <w:sz w:val="22"/>
          <w:lang w:val="fr-BE" w:eastAsia="en-GB"/>
        </w:rPr>
        <w:t xml:space="preserve"> </w:t>
      </w:r>
    </w:p>
    <w:p w14:paraId="5E873C2C" w14:textId="60C8268E" w:rsidR="00E53886" w:rsidRPr="00596F6C" w:rsidRDefault="00E53886" w:rsidP="00E53886">
      <w:pPr>
        <w:spacing w:after="120"/>
        <w:rPr>
          <w:noProof/>
          <w:sz w:val="22"/>
          <w:lang w:val="fr-BE" w:eastAsia="en-GB"/>
        </w:rPr>
      </w:pPr>
      <w:r w:rsidRPr="00D25AB4">
        <w:rPr>
          <w:noProof/>
          <w:sz w:val="22"/>
          <w:lang w:val="fr-BE" w:eastAsia="en-GB"/>
        </w:rPr>
        <w:t>Council of State (2026), Op</w:t>
      </w:r>
      <w:r w:rsidRPr="00D007DA">
        <w:rPr>
          <w:noProof/>
          <w:sz w:val="22"/>
          <w:lang w:val="fr-BE" w:eastAsia="en-GB"/>
        </w:rPr>
        <w:t>inion o</w:t>
      </w:r>
      <w:r w:rsidRPr="00D25AB4">
        <w:rPr>
          <w:noProof/>
          <w:sz w:val="22"/>
          <w:lang w:val="fr-BE" w:eastAsia="en-GB"/>
        </w:rPr>
        <w:t>n the draft law 8694 proposing amendments to the modified law of 7 November 1996, which organises the administrative jurisdiction order, to establish an Asylum and Immigration Tribunal</w:t>
      </w:r>
      <w:r w:rsidRPr="00D007DA">
        <w:rPr>
          <w:noProof/>
          <w:sz w:val="22"/>
          <w:lang w:val="fr-BE" w:eastAsia="en-GB"/>
        </w:rPr>
        <w:t xml:space="preserve"> (</w:t>
      </w:r>
      <w:r w:rsidRPr="00D007DA">
        <w:rPr>
          <w:i/>
          <w:iCs/>
          <w:noProof/>
          <w:sz w:val="22"/>
          <w:lang w:val="fr-BE" w:eastAsia="en-GB"/>
        </w:rPr>
        <w:t>Avis concernant le projet de loi portant modification de la loi modifiée du 7 novembre 1996 portant organisation des juridictions administratives en vue d’instituer un tribunal d’asile et d’immigration</w:t>
      </w:r>
      <w:r>
        <w:rPr>
          <w:noProof/>
          <w:sz w:val="22"/>
          <w:lang w:val="fr-BE" w:eastAsia="en-GB"/>
        </w:rPr>
        <w:t xml:space="preserve">), 5 May 2026, </w:t>
      </w:r>
      <w:hyperlink r:id="rId43" w:history="1">
        <w:r w:rsidRPr="00C22304">
          <w:rPr>
            <w:rStyle w:val="Hyperlink"/>
            <w:noProof/>
            <w:sz w:val="22"/>
            <w:lang w:val="fr-BE" w:eastAsia="en-GB"/>
          </w:rPr>
          <w:t>https://wdocs-pub.chd.lu/docs/Dossiers_parlementaires/8694/20260505_Avis_2.pdf</w:t>
        </w:r>
      </w:hyperlink>
      <w:r w:rsidR="007906BF" w:rsidRPr="000F1B41">
        <w:rPr>
          <w:noProof/>
          <w:sz w:val="22"/>
          <w:lang w:val="fr-BE" w:eastAsia="en-GB"/>
        </w:rPr>
        <w:t>.</w:t>
      </w:r>
      <w:r>
        <w:rPr>
          <w:noProof/>
          <w:sz w:val="22"/>
          <w:lang w:val="fr-BE" w:eastAsia="en-GB"/>
        </w:rPr>
        <w:t xml:space="preserve"> </w:t>
      </w:r>
    </w:p>
    <w:p w14:paraId="051C429F" w14:textId="506AD1A0" w:rsidR="00E53886" w:rsidRPr="00933766" w:rsidRDefault="00E53886" w:rsidP="00E53886">
      <w:pPr>
        <w:spacing w:after="120"/>
        <w:rPr>
          <w:noProof/>
          <w:sz w:val="22"/>
          <w:lang w:val="fr-BE" w:eastAsia="en-GB"/>
        </w:rPr>
      </w:pPr>
      <w:r w:rsidRPr="00933766">
        <w:rPr>
          <w:noProof/>
          <w:sz w:val="22"/>
          <w:lang w:val="fr-BE" w:eastAsia="en-GB"/>
        </w:rPr>
        <w:t>Court of Auditors (2026), Special report on finances of the “Piraten” group for the period 2018-2023 (</w:t>
      </w:r>
      <w:r w:rsidRPr="00933766">
        <w:rPr>
          <w:i/>
          <w:iCs/>
          <w:noProof/>
          <w:sz w:val="22"/>
          <w:lang w:val="fr-BE" w:eastAsia="en-GB"/>
        </w:rPr>
        <w:t>Rapport spécial sur les états financiers de la sensibilité politique « Piraten » pour la législature 2018-2023</w:t>
      </w:r>
      <w:r w:rsidRPr="00933766">
        <w:rPr>
          <w:noProof/>
          <w:sz w:val="22"/>
          <w:lang w:val="fr-BE" w:eastAsia="en-GB"/>
        </w:rPr>
        <w:t xml:space="preserve">), 4 February 2026, </w:t>
      </w:r>
      <w:hyperlink r:id="rId44" w:history="1">
        <w:r w:rsidRPr="00933766">
          <w:rPr>
            <w:rStyle w:val="Hyperlink"/>
            <w:noProof/>
            <w:sz w:val="22"/>
            <w:lang w:val="fr-BE"/>
          </w:rPr>
          <w:t>https://www.chd.lu/fr/rapport-special-cour-des-comptes-finances-sensibilite-politique-piraten-2018-2023</w:t>
        </w:r>
      </w:hyperlink>
      <w:r w:rsidR="007906BF" w:rsidRPr="000F1B41">
        <w:rPr>
          <w:noProof/>
          <w:sz w:val="22"/>
          <w:lang w:val="fr-BE" w:eastAsia="en-GB"/>
        </w:rPr>
        <w:t>.</w:t>
      </w:r>
    </w:p>
    <w:p w14:paraId="2834910D" w14:textId="09143CC4" w:rsidR="00E53886" w:rsidRDefault="00E53886" w:rsidP="00E53886">
      <w:pPr>
        <w:spacing w:after="120"/>
        <w:rPr>
          <w:noProof/>
        </w:rPr>
      </w:pPr>
      <w:r w:rsidRPr="00933766">
        <w:rPr>
          <w:noProof/>
          <w:sz w:val="22"/>
          <w:lang w:val="en-IE" w:eastAsia="en-IE"/>
        </w:rPr>
        <w:t xml:space="preserve">European Commission (2025), 2025 Rule of Law Report, </w:t>
      </w:r>
      <w:r w:rsidRPr="00933766">
        <w:rPr>
          <w:i/>
          <w:iCs/>
          <w:noProof/>
          <w:sz w:val="22"/>
          <w:lang w:val="en-IE" w:eastAsia="en-IE"/>
        </w:rPr>
        <w:t xml:space="preserve">Country Chapter on the rule of law situation in Luxembourg, </w:t>
      </w:r>
      <w:hyperlink r:id="rId45" w:history="1">
        <w:r w:rsidRPr="00933766">
          <w:rPr>
            <w:rStyle w:val="Hyperlink"/>
            <w:i/>
            <w:iCs/>
            <w:noProof/>
            <w:sz w:val="22"/>
            <w:lang w:val="en-IE" w:eastAsia="en-IE"/>
          </w:rPr>
          <w:t>https://commission.europa.eu/document/download/38e15783-3aca-434e-83e8-26ba0a90fc7c_en?filename=20_1_63953_coun_chap_luxembourg_en.pdf</w:t>
        </w:r>
      </w:hyperlink>
      <w:r w:rsidR="007906BF" w:rsidRPr="006536D8">
        <w:rPr>
          <w:noProof/>
          <w:sz w:val="22"/>
          <w:lang w:eastAsia="en-GB"/>
        </w:rPr>
        <w:t>.</w:t>
      </w:r>
    </w:p>
    <w:p w14:paraId="7F2AEA6F" w14:textId="4808226F" w:rsidR="00A63766" w:rsidRDefault="00A63766" w:rsidP="00A63766">
      <w:pPr>
        <w:spacing w:after="120"/>
        <w:rPr>
          <w:i/>
          <w:iCs/>
          <w:noProof/>
          <w:sz w:val="22"/>
          <w:szCs w:val="22"/>
          <w:lang w:val="en-IE" w:eastAsia="en-GB"/>
        </w:rPr>
      </w:pPr>
      <w:r w:rsidRPr="00933ED2">
        <w:rPr>
          <w:noProof/>
          <w:sz w:val="22"/>
          <w:szCs w:val="22"/>
          <w:lang w:val="en-IE" w:eastAsia="en-GB"/>
        </w:rPr>
        <w:t xml:space="preserve">European Commission (2026), </w:t>
      </w:r>
      <w:r w:rsidR="00B72518" w:rsidRPr="00385C31">
        <w:rPr>
          <w:i/>
          <w:iCs/>
          <w:noProof/>
          <w:sz w:val="22"/>
          <w:szCs w:val="22"/>
          <w:lang w:val="en-IE" w:eastAsia="en-GB"/>
        </w:rPr>
        <w:t>2026</w:t>
      </w:r>
      <w:r w:rsidR="00B72518">
        <w:rPr>
          <w:noProof/>
          <w:sz w:val="22"/>
          <w:szCs w:val="22"/>
          <w:lang w:val="en-IE" w:eastAsia="en-GB"/>
        </w:rPr>
        <w:t xml:space="preserve"> </w:t>
      </w:r>
      <w:r w:rsidRPr="00933ED2">
        <w:rPr>
          <w:i/>
          <w:iCs/>
          <w:noProof/>
          <w:sz w:val="22"/>
          <w:szCs w:val="22"/>
          <w:lang w:val="en-IE" w:eastAsia="en-GB"/>
        </w:rPr>
        <w:t>EU Justice Scoreboard</w:t>
      </w:r>
      <w:r>
        <w:rPr>
          <w:i/>
          <w:iCs/>
          <w:noProof/>
          <w:sz w:val="22"/>
          <w:szCs w:val="22"/>
          <w:lang w:val="en-IE" w:eastAsia="en-GB"/>
        </w:rPr>
        <w:t xml:space="preserve">, </w:t>
      </w:r>
      <w:hyperlink r:id="rId46" w:history="1">
        <w:r w:rsidR="00F66CBF" w:rsidRPr="00895927">
          <w:rPr>
            <w:rStyle w:val="Hyperlink"/>
            <w:i/>
            <w:iCs/>
            <w:noProof/>
            <w:sz w:val="22"/>
            <w:szCs w:val="22"/>
            <w:lang w:val="en-IE" w:eastAsia="en-GB"/>
          </w:rPr>
          <w:t>https://commission.europa.eu/document/download/d1367f58-9eed-4ebd-8eb3-68646b7c7ddc_en?filename=2026_eu_justice_scoreboard.PDF</w:t>
        </w:r>
      </w:hyperlink>
      <w:r w:rsidR="007906BF" w:rsidRPr="006536D8">
        <w:rPr>
          <w:noProof/>
          <w:sz w:val="22"/>
          <w:lang w:eastAsia="en-GB"/>
        </w:rPr>
        <w:t>.</w:t>
      </w:r>
    </w:p>
    <w:p w14:paraId="03AD578C" w14:textId="77777777" w:rsidR="00E53886" w:rsidRPr="003A3B7A" w:rsidRDefault="00E53886" w:rsidP="00E53886">
      <w:pPr>
        <w:spacing w:after="120"/>
        <w:rPr>
          <w:noProof/>
          <w:sz w:val="22"/>
          <w:lang w:eastAsia="en-GB"/>
        </w:rPr>
      </w:pPr>
      <w:r w:rsidRPr="006B1E67">
        <w:rPr>
          <w:noProof/>
          <w:sz w:val="22"/>
          <w:lang w:eastAsia="en-GB"/>
        </w:rPr>
        <w:t xml:space="preserve">European Implementation Network (2026), </w:t>
      </w:r>
      <w:r w:rsidRPr="006B1E67">
        <w:rPr>
          <w:i/>
          <w:iCs/>
          <w:noProof/>
          <w:sz w:val="22"/>
          <w:lang w:eastAsia="en-GB"/>
        </w:rPr>
        <w:t>Input from the European Implementation Network for the 2026 Rule of Law Report</w:t>
      </w:r>
      <w:r w:rsidRPr="006B1E67">
        <w:rPr>
          <w:noProof/>
          <w:sz w:val="22"/>
          <w:lang w:val="en-IE" w:eastAsia="en-GB"/>
        </w:rPr>
        <w:t>.</w:t>
      </w:r>
    </w:p>
    <w:p w14:paraId="2C0455B3" w14:textId="3B7F5EB2" w:rsidR="00E53886" w:rsidRDefault="00E53886" w:rsidP="00E53886">
      <w:pPr>
        <w:spacing w:after="120"/>
        <w:rPr>
          <w:noProof/>
          <w:sz w:val="22"/>
          <w:lang w:eastAsia="en-GB"/>
        </w:rPr>
      </w:pPr>
      <w:r>
        <w:rPr>
          <w:noProof/>
          <w:sz w:val="22"/>
          <w:lang w:eastAsia="en-GB"/>
        </w:rPr>
        <w:t xml:space="preserve">European Network of National Human Rights Institutions (2026), </w:t>
      </w:r>
      <w:r w:rsidRPr="00D007DA">
        <w:rPr>
          <w:i/>
          <w:iCs/>
          <w:noProof/>
          <w:sz w:val="22"/>
          <w:lang w:eastAsia="en-GB"/>
        </w:rPr>
        <w:t>State of the rule of law in Europe, Reports from National Human Rights Institutions</w:t>
      </w:r>
      <w:r>
        <w:rPr>
          <w:noProof/>
          <w:sz w:val="22"/>
          <w:lang w:eastAsia="en-GB"/>
        </w:rPr>
        <w:t xml:space="preserve">, </w:t>
      </w:r>
      <w:hyperlink r:id="rId47" w:history="1">
        <w:r w:rsidRPr="00385819">
          <w:rPr>
            <w:rStyle w:val="Hyperlink"/>
            <w:noProof/>
            <w:sz w:val="22"/>
            <w:lang w:eastAsia="en-GB"/>
          </w:rPr>
          <w:t>https://rule-of-law.ennhri.org/node/335</w:t>
        </w:r>
      </w:hyperlink>
      <w:r w:rsidR="007906BF" w:rsidRPr="006536D8">
        <w:rPr>
          <w:noProof/>
          <w:sz w:val="22"/>
          <w:lang w:eastAsia="en-GB"/>
        </w:rPr>
        <w:t>.</w:t>
      </w:r>
    </w:p>
    <w:p w14:paraId="3D588493" w14:textId="77777777" w:rsidR="00E53886" w:rsidRPr="003A3B7A" w:rsidRDefault="00E53886" w:rsidP="00E53886">
      <w:pPr>
        <w:spacing w:after="120"/>
        <w:rPr>
          <w:noProof/>
          <w:sz w:val="22"/>
          <w:lang w:eastAsia="en-GB"/>
        </w:rPr>
      </w:pPr>
      <w:r w:rsidRPr="003A3B7A">
        <w:rPr>
          <w:noProof/>
          <w:sz w:val="22"/>
          <w:lang w:eastAsia="en-GB"/>
        </w:rPr>
        <w:t xml:space="preserve">European Public Prosecutor’s Office (2026), </w:t>
      </w:r>
      <w:r w:rsidRPr="00933766">
        <w:rPr>
          <w:i/>
          <w:iCs/>
          <w:noProof/>
          <w:sz w:val="22"/>
          <w:lang w:eastAsia="en-GB"/>
        </w:rPr>
        <w:t>Input from the European Public Prosecutor’s Office for the 2026 Rule of Law Report.</w:t>
      </w:r>
    </w:p>
    <w:p w14:paraId="07E2DF5C" w14:textId="77777777" w:rsidR="00E53886" w:rsidRPr="003A3B7A" w:rsidRDefault="00E53886" w:rsidP="00E53886">
      <w:pPr>
        <w:spacing w:after="120"/>
        <w:rPr>
          <w:noProof/>
          <w:sz w:val="22"/>
          <w:lang w:eastAsia="en-GB"/>
        </w:rPr>
      </w:pPr>
      <w:r w:rsidRPr="003A3B7A">
        <w:rPr>
          <w:noProof/>
          <w:sz w:val="22"/>
          <w:lang w:eastAsia="en-GB"/>
        </w:rPr>
        <w:t xml:space="preserve">European Union Agency for Fundamental Rights (2026), </w:t>
      </w:r>
      <w:r w:rsidRPr="00933766">
        <w:rPr>
          <w:i/>
          <w:iCs/>
          <w:noProof/>
          <w:sz w:val="22"/>
          <w:lang w:eastAsia="en-GB"/>
        </w:rPr>
        <w:t>Civic space in the EU in 2025</w:t>
      </w:r>
      <w:r w:rsidRPr="003A3B7A">
        <w:rPr>
          <w:noProof/>
          <w:sz w:val="22"/>
          <w:lang w:eastAsia="en-GB"/>
        </w:rPr>
        <w:t>.</w:t>
      </w:r>
    </w:p>
    <w:p w14:paraId="259F8BBD" w14:textId="13C0A609" w:rsidR="00E53886" w:rsidRPr="00933766" w:rsidRDefault="00E53886" w:rsidP="00E53886">
      <w:pPr>
        <w:spacing w:after="120"/>
        <w:rPr>
          <w:noProof/>
          <w:sz w:val="22"/>
          <w:lang w:val="fr-BE" w:eastAsia="en-GB"/>
        </w:rPr>
      </w:pPr>
      <w:r w:rsidRPr="00933766">
        <w:rPr>
          <w:noProof/>
          <w:sz w:val="22"/>
          <w:lang w:val="fr-BE" w:eastAsia="en-GB"/>
        </w:rPr>
        <w:t>Law of 2 April 2025 amending the amended Law of 7 June 2012 on judicial assistants, with a view to determining the diploma and professional experience requirements in the field of law (</w:t>
      </w:r>
      <w:r w:rsidRPr="00933766">
        <w:rPr>
          <w:i/>
          <w:iCs/>
          <w:noProof/>
          <w:sz w:val="22"/>
          <w:lang w:val="fr-BE" w:eastAsia="en-GB"/>
        </w:rPr>
        <w:t>Loi du 2 avril 2025 portant modification de la loi modifiée du 7 juin 2012 sur les attachés de justice en vue de déterminer les conditions de diplôme et d’expérience professionnelle dans le domaine du droit</w:t>
      </w:r>
      <w:r w:rsidRPr="003A3B7A">
        <w:rPr>
          <w:noProof/>
          <w:sz w:val="22"/>
          <w:lang w:val="fr-BE" w:eastAsia="en-GB"/>
        </w:rPr>
        <w:t xml:space="preserve">), </w:t>
      </w:r>
      <w:hyperlink r:id="rId48" w:history="1">
        <w:r w:rsidRPr="003A3B7A">
          <w:rPr>
            <w:rStyle w:val="Hyperlink"/>
            <w:noProof/>
            <w:sz w:val="22"/>
            <w:lang w:val="fr-BE" w:eastAsia="en-GB"/>
          </w:rPr>
          <w:t>https://legilux.public.lu/eli/etat/leg/loi/2025/04/02/a117/jo</w:t>
        </w:r>
      </w:hyperlink>
      <w:r w:rsidR="007906BF" w:rsidRPr="000F1B41">
        <w:rPr>
          <w:noProof/>
          <w:sz w:val="22"/>
          <w:lang w:val="fr-BE" w:eastAsia="en-GB"/>
        </w:rPr>
        <w:t>.</w:t>
      </w:r>
      <w:r w:rsidRPr="003A3B7A">
        <w:rPr>
          <w:noProof/>
          <w:sz w:val="22"/>
          <w:lang w:val="fr-BE" w:eastAsia="en-GB"/>
        </w:rPr>
        <w:t xml:space="preserve"> </w:t>
      </w:r>
    </w:p>
    <w:p w14:paraId="74C097CA" w14:textId="7E418DC5" w:rsidR="00E53886" w:rsidRPr="00933766" w:rsidRDefault="00E53886" w:rsidP="00E53886">
      <w:pPr>
        <w:spacing w:after="120"/>
        <w:rPr>
          <w:noProof/>
          <w:sz w:val="22"/>
          <w:lang w:val="fr-BE"/>
        </w:rPr>
      </w:pPr>
      <w:r w:rsidRPr="00933766">
        <w:rPr>
          <w:noProof/>
          <w:sz w:val="22"/>
          <w:lang w:val="fr-BE" w:eastAsia="en-GB"/>
        </w:rPr>
        <w:t>Law of 28 November 2025 amending Article 43bis of the amended Law of 18 July 2018 on</w:t>
      </w:r>
      <w:r w:rsidRPr="00933766">
        <w:rPr>
          <w:noProof/>
          <w:sz w:val="22"/>
          <w:lang w:val="fr-BE"/>
        </w:rPr>
        <w:t xml:space="preserve"> the Grand-Ducal Police (</w:t>
      </w:r>
      <w:r w:rsidRPr="00933766">
        <w:rPr>
          <w:i/>
          <w:iCs/>
          <w:noProof/>
          <w:sz w:val="22"/>
          <w:lang w:val="fr-BE"/>
        </w:rPr>
        <w:t>Loi du 28 novembre 2025 portant modification de l’article 43bis de la loi modifiée du 18 juillet 2018 sur la Police grand-ducale</w:t>
      </w:r>
      <w:r w:rsidRPr="00933766">
        <w:rPr>
          <w:noProof/>
          <w:sz w:val="22"/>
          <w:lang w:val="fr-BE"/>
        </w:rPr>
        <w:t>)</w:t>
      </w:r>
      <w:r w:rsidRPr="00933766">
        <w:rPr>
          <w:i/>
          <w:iCs/>
          <w:noProof/>
          <w:sz w:val="22"/>
          <w:lang w:val="fr-BE"/>
        </w:rPr>
        <w:t xml:space="preserve">, </w:t>
      </w:r>
      <w:hyperlink r:id="rId49" w:history="1">
        <w:r w:rsidR="00E10F62" w:rsidRPr="00895927">
          <w:rPr>
            <w:rStyle w:val="Hyperlink"/>
            <w:i/>
            <w:iCs/>
            <w:noProof/>
            <w:sz w:val="22"/>
            <w:lang w:val="fr-BE"/>
          </w:rPr>
          <w:t>https://legilux.public.lu/eli/etat/leg/loi/2025/11/28/a525/jo</w:t>
        </w:r>
      </w:hyperlink>
      <w:r w:rsidR="007906BF" w:rsidRPr="000F1B41">
        <w:rPr>
          <w:noProof/>
          <w:sz w:val="22"/>
          <w:lang w:val="fr-BE" w:eastAsia="en-GB"/>
        </w:rPr>
        <w:t>.</w:t>
      </w:r>
      <w:r w:rsidRPr="00933766">
        <w:rPr>
          <w:noProof/>
          <w:sz w:val="22"/>
          <w:lang w:val="fr-BE"/>
        </w:rPr>
        <w:t xml:space="preserve"> </w:t>
      </w:r>
    </w:p>
    <w:p w14:paraId="1B8C2130" w14:textId="0A54165F" w:rsidR="00E53886" w:rsidRPr="00933766" w:rsidRDefault="00E53886" w:rsidP="00E53886">
      <w:pPr>
        <w:spacing w:after="120"/>
        <w:rPr>
          <w:noProof/>
          <w:sz w:val="22"/>
          <w:lang w:val="fr-BE" w:eastAsia="en-GB"/>
        </w:rPr>
      </w:pPr>
      <w:r w:rsidRPr="00933766">
        <w:rPr>
          <w:rStyle w:val="Bodytext1"/>
          <w:noProof/>
          <w:sz w:val="22"/>
          <w:lang w:val="fr-BE"/>
        </w:rPr>
        <w:t xml:space="preserve">Law of 12 December 2025 amending certain provisions of the Criminal Code and the Code of Criminal Procedure, </w:t>
      </w:r>
      <w:r w:rsidRPr="003A3B7A">
        <w:rPr>
          <w:rStyle w:val="Bodytext1"/>
          <w:noProof/>
          <w:sz w:val="22"/>
          <w:lang w:val="fr-BE"/>
        </w:rPr>
        <w:t>(</w:t>
      </w:r>
      <w:r w:rsidRPr="00933766">
        <w:rPr>
          <w:i/>
          <w:iCs/>
          <w:noProof/>
          <w:sz w:val="22"/>
          <w:lang w:val="fr-BE"/>
        </w:rPr>
        <w:t>Loi du 12 décembre 2025 portant modification du Code pénal ; du Code de procédure pénale</w:t>
      </w:r>
      <w:r w:rsidRPr="003A3B7A">
        <w:rPr>
          <w:noProof/>
          <w:sz w:val="22"/>
          <w:lang w:val="fr-BE"/>
        </w:rPr>
        <w:t>)</w:t>
      </w:r>
      <w:r w:rsidRPr="00933766">
        <w:rPr>
          <w:noProof/>
          <w:sz w:val="22"/>
          <w:lang w:val="fr-BE"/>
        </w:rPr>
        <w:t>,</w:t>
      </w:r>
      <w:r w:rsidRPr="00933766">
        <w:rPr>
          <w:rStyle w:val="Bodytext1"/>
          <w:noProof/>
          <w:sz w:val="22"/>
          <w:lang w:val="fr-BE"/>
        </w:rPr>
        <w:t xml:space="preserve"> </w:t>
      </w:r>
      <w:hyperlink r:id="rId50" w:history="1">
        <w:r w:rsidRPr="00933766">
          <w:rPr>
            <w:rStyle w:val="Hyperlink"/>
            <w:noProof/>
            <w:sz w:val="22"/>
            <w:lang w:val="fr-BE"/>
          </w:rPr>
          <w:t>https://legilux.public.lu/eli/etat/leg/loi/2025/12/12/a556/jo</w:t>
        </w:r>
      </w:hyperlink>
      <w:r w:rsidR="007906BF" w:rsidRPr="000F1B41">
        <w:rPr>
          <w:noProof/>
          <w:sz w:val="22"/>
          <w:lang w:val="fr-BE" w:eastAsia="en-GB"/>
        </w:rPr>
        <w:t>.</w:t>
      </w:r>
    </w:p>
    <w:p w14:paraId="0C5BFC37" w14:textId="64644A08" w:rsidR="00927D3E" w:rsidRPr="00BD712A" w:rsidRDefault="00927D3E" w:rsidP="00E53886">
      <w:pPr>
        <w:spacing w:after="120"/>
        <w:rPr>
          <w:noProof/>
          <w:sz w:val="22"/>
          <w:lang w:val="fr-BE" w:eastAsia="en-GB"/>
        </w:rPr>
      </w:pPr>
      <w:r w:rsidRPr="00BD712A">
        <w:rPr>
          <w:noProof/>
          <w:sz w:val="22"/>
          <w:szCs w:val="22"/>
          <w:lang w:val="fr-BE" w:eastAsia="en-GB"/>
        </w:rPr>
        <w:t>Luxembourg Government (2023), Multiannual Convention between the Government and the Public Service Media 100,7 (2024-2030) (</w:t>
      </w:r>
      <w:r w:rsidRPr="00BD712A">
        <w:rPr>
          <w:i/>
          <w:iCs/>
          <w:noProof/>
          <w:sz w:val="22"/>
          <w:szCs w:val="22"/>
          <w:lang w:val="fr-BE" w:eastAsia="en-GB"/>
        </w:rPr>
        <w:t>Convention conclue entre l’État du Grand-Duché de Luxembourg et le Média de service public 100,7</w:t>
      </w:r>
      <w:r w:rsidRPr="00BD712A">
        <w:rPr>
          <w:noProof/>
          <w:sz w:val="22"/>
          <w:szCs w:val="22"/>
          <w:lang w:val="fr-BE" w:eastAsia="en-GB"/>
        </w:rPr>
        <w:t xml:space="preserve">), 31 March 2023, </w:t>
      </w:r>
      <w:hyperlink r:id="rId51" w:history="1">
        <w:r w:rsidRPr="00BD712A">
          <w:rPr>
            <w:rStyle w:val="Hyperlink"/>
            <w:noProof/>
            <w:sz w:val="22"/>
            <w:szCs w:val="22"/>
            <w:lang w:val="fr-BE"/>
          </w:rPr>
          <w:t>https://gouvernement.lu/dam-assets/documents/actualites/2023/03-mars/31-convention-media-service-public/convention-31032023.pdf</w:t>
        </w:r>
      </w:hyperlink>
    </w:p>
    <w:p w14:paraId="69E1EB34" w14:textId="2D7C15C5" w:rsidR="00E53886" w:rsidRPr="00933766" w:rsidRDefault="00E53886" w:rsidP="00E53886">
      <w:pPr>
        <w:spacing w:after="120"/>
        <w:rPr>
          <w:noProof/>
          <w:sz w:val="22"/>
          <w:lang w:val="en" w:eastAsia="en-GB"/>
        </w:rPr>
      </w:pPr>
      <w:r w:rsidRPr="003A3B7A">
        <w:rPr>
          <w:noProof/>
          <w:sz w:val="22"/>
          <w:lang w:eastAsia="en-GB"/>
        </w:rPr>
        <w:t xml:space="preserve">Luxembourg Government (2025), </w:t>
      </w:r>
      <w:r w:rsidRPr="00933766">
        <w:rPr>
          <w:i/>
          <w:iCs/>
          <w:noProof/>
          <w:sz w:val="22"/>
          <w:lang w:eastAsia="en-GB"/>
        </w:rPr>
        <w:t>National Action Plan for the Safety of Journalists (2025–2028)</w:t>
      </w:r>
      <w:r w:rsidRPr="003A3B7A">
        <w:rPr>
          <w:noProof/>
          <w:sz w:val="22"/>
          <w:lang w:eastAsia="en-GB"/>
        </w:rPr>
        <w:t xml:space="preserve">, </w:t>
      </w:r>
      <w:hyperlink r:id="rId52" w:history="1">
        <w:r w:rsidRPr="003A3B7A">
          <w:rPr>
            <w:rStyle w:val="Hyperlink"/>
            <w:noProof/>
            <w:sz w:val="22"/>
            <w:lang w:eastAsia="en-GB"/>
          </w:rPr>
          <w:t>https://smc.gouvernement.lu/dam-assets/dossiers/plan-daction-journalistes/mie-254763-brochure-web-en.pdf</w:t>
        </w:r>
      </w:hyperlink>
      <w:r w:rsidR="007906BF" w:rsidRPr="006536D8">
        <w:rPr>
          <w:noProof/>
          <w:sz w:val="22"/>
          <w:lang w:eastAsia="en-GB"/>
        </w:rPr>
        <w:t>.</w:t>
      </w:r>
      <w:r w:rsidRPr="003A3B7A">
        <w:rPr>
          <w:noProof/>
          <w:sz w:val="22"/>
          <w:lang w:eastAsia="en-GB"/>
        </w:rPr>
        <w:t xml:space="preserve"> </w:t>
      </w:r>
    </w:p>
    <w:p w14:paraId="1B090FA5" w14:textId="7A79532C" w:rsidR="00E53886" w:rsidRPr="003A3B7A" w:rsidRDefault="00E53886" w:rsidP="00E53886">
      <w:pPr>
        <w:spacing w:after="120"/>
        <w:rPr>
          <w:noProof/>
          <w:sz w:val="22"/>
          <w:lang w:eastAsia="en-GB"/>
        </w:rPr>
      </w:pPr>
      <w:r w:rsidRPr="003A3B7A">
        <w:rPr>
          <w:noProof/>
          <w:sz w:val="22"/>
          <w:lang w:eastAsia="en-GB"/>
        </w:rPr>
        <w:t xml:space="preserve">Luxembourg Government (2026a), </w:t>
      </w:r>
      <w:r w:rsidRPr="00933766">
        <w:rPr>
          <w:i/>
          <w:iCs/>
          <w:noProof/>
          <w:sz w:val="22"/>
          <w:lang w:eastAsia="en-GB"/>
        </w:rPr>
        <w:t>Input from Luxembourg for the 2026 Rule of Law Report</w:t>
      </w:r>
      <w:r w:rsidRPr="003A3B7A">
        <w:rPr>
          <w:noProof/>
          <w:sz w:val="22"/>
          <w:lang w:eastAsia="en-GB"/>
        </w:rPr>
        <w:t>.</w:t>
      </w:r>
    </w:p>
    <w:p w14:paraId="45A9FA0B" w14:textId="77777777" w:rsidR="00E53886" w:rsidRPr="003A3B7A" w:rsidRDefault="00E53886" w:rsidP="00E53886">
      <w:pPr>
        <w:spacing w:after="120"/>
        <w:rPr>
          <w:noProof/>
          <w:sz w:val="22"/>
          <w:lang w:eastAsia="en-GB"/>
        </w:rPr>
      </w:pPr>
      <w:r w:rsidRPr="003A3B7A">
        <w:rPr>
          <w:noProof/>
          <w:sz w:val="22"/>
          <w:lang w:eastAsia="en-GB"/>
        </w:rPr>
        <w:t xml:space="preserve">Luxembourg Government (2026b), </w:t>
      </w:r>
      <w:r w:rsidRPr="00933766">
        <w:rPr>
          <w:i/>
          <w:iCs/>
          <w:noProof/>
          <w:sz w:val="22"/>
          <w:lang w:eastAsia="en-GB"/>
        </w:rPr>
        <w:t>additional written input from Luxembourg for the 2026 Rule of Law Report regarding digitalisation</w:t>
      </w:r>
      <w:r w:rsidRPr="003A3B7A">
        <w:rPr>
          <w:i/>
          <w:iCs/>
          <w:noProof/>
          <w:sz w:val="22"/>
          <w:lang w:eastAsia="en-GB"/>
        </w:rPr>
        <w:t xml:space="preserve"> of administrative justice</w:t>
      </w:r>
      <w:r w:rsidRPr="003A3B7A">
        <w:rPr>
          <w:noProof/>
          <w:sz w:val="22"/>
          <w:lang w:eastAsia="en-GB"/>
        </w:rPr>
        <w:t>.</w:t>
      </w:r>
    </w:p>
    <w:p w14:paraId="24EA4E51" w14:textId="77777777" w:rsidR="00E53886" w:rsidRPr="003A3B7A" w:rsidRDefault="00E53886" w:rsidP="00E53886">
      <w:pPr>
        <w:spacing w:after="120"/>
        <w:rPr>
          <w:noProof/>
          <w:sz w:val="22"/>
          <w:lang w:eastAsia="en-GB"/>
        </w:rPr>
      </w:pPr>
      <w:r w:rsidRPr="003A3B7A">
        <w:rPr>
          <w:noProof/>
          <w:sz w:val="22"/>
          <w:lang w:eastAsia="en-GB"/>
        </w:rPr>
        <w:t xml:space="preserve">Luxembourg Government (2026c), </w:t>
      </w:r>
      <w:r w:rsidRPr="003A3B7A">
        <w:rPr>
          <w:i/>
          <w:iCs/>
          <w:noProof/>
          <w:sz w:val="22"/>
          <w:lang w:eastAsia="en-GB"/>
        </w:rPr>
        <w:t>additional written input from Luxembourg for the 2026 Rule of Law Report regarding digitalisation of civil and criminal justice.</w:t>
      </w:r>
    </w:p>
    <w:p w14:paraId="4BCB367E" w14:textId="0E61EEA4" w:rsidR="00E53886" w:rsidRPr="00933766" w:rsidRDefault="00E53886" w:rsidP="00E53886">
      <w:pPr>
        <w:spacing w:after="120"/>
        <w:rPr>
          <w:noProof/>
          <w:sz w:val="22"/>
          <w:lang w:val="fr-BE" w:eastAsia="en-GB"/>
        </w:rPr>
      </w:pPr>
      <w:r w:rsidRPr="00933766">
        <w:rPr>
          <w:noProof/>
          <w:sz w:val="22"/>
          <w:lang w:val="fr-BE" w:eastAsia="en-GB"/>
        </w:rPr>
        <w:t>Luxembourgish Magistrates’ Association (2026), Opinion on the draft law 8694 proposing amendments to the modified law of 7 November 1996, which organises the administrative jurisdiction order, to establish an Asylum and Immigration Tribunal (</w:t>
      </w:r>
      <w:r w:rsidRPr="00933766">
        <w:rPr>
          <w:i/>
          <w:iCs/>
          <w:noProof/>
          <w:sz w:val="22"/>
          <w:lang w:val="fr-BE" w:eastAsia="en-GB"/>
        </w:rPr>
        <w:t>Avis du Groupement des Magistrats Luxembourgeois concernant le projet de loi n° 8694 portant modification de la loi modifiée du 7 novembre 1996 portant organisation des juridictions de l’ordre administratif en vue d’instituer un tribunal d’asile et d'immigration</w:t>
      </w:r>
      <w:r w:rsidRPr="003A3B7A">
        <w:rPr>
          <w:noProof/>
          <w:sz w:val="22"/>
          <w:lang w:val="fr-BE" w:eastAsia="en-GB"/>
        </w:rPr>
        <w:t>)</w:t>
      </w:r>
      <w:r w:rsidRPr="00933766">
        <w:rPr>
          <w:noProof/>
          <w:sz w:val="22"/>
          <w:lang w:val="fr-BE" w:eastAsia="en-GB"/>
        </w:rPr>
        <w:t xml:space="preserve">, 9 march 2026, </w:t>
      </w:r>
      <w:hyperlink r:id="rId53" w:history="1">
        <w:r w:rsidRPr="00933766">
          <w:rPr>
            <w:rStyle w:val="Hyperlink"/>
            <w:noProof/>
            <w:sz w:val="22"/>
            <w:lang w:val="fr-BE" w:eastAsia="en-GB"/>
          </w:rPr>
          <w:t>https://legilux.public.lu/filestore/eli/dl/pl/2026/34/evenement/avis/7/doc/davoc/1/fr/pdf/eli-dl-pl-2026-34-evenement-avis-7-doc-davoc-1-fr-pdf.pdf</w:t>
        </w:r>
      </w:hyperlink>
      <w:r w:rsidR="007906BF" w:rsidRPr="000F1B41">
        <w:rPr>
          <w:noProof/>
          <w:sz w:val="22"/>
          <w:lang w:val="fr-BE" w:eastAsia="en-GB"/>
        </w:rPr>
        <w:t>.</w:t>
      </w:r>
      <w:r w:rsidRPr="00933766">
        <w:rPr>
          <w:noProof/>
          <w:sz w:val="22"/>
          <w:lang w:val="fr-BE" w:eastAsia="en-GB"/>
        </w:rPr>
        <w:t xml:space="preserve"> </w:t>
      </w:r>
    </w:p>
    <w:p w14:paraId="4DF65B09" w14:textId="3998CB38" w:rsidR="00E53886" w:rsidRPr="00933766" w:rsidRDefault="00E53886" w:rsidP="00E53886">
      <w:pPr>
        <w:spacing w:after="120"/>
        <w:rPr>
          <w:noProof/>
          <w:sz w:val="22"/>
          <w:lang w:val="fr-BE" w:eastAsia="en-GB"/>
        </w:rPr>
      </w:pPr>
      <w:r w:rsidRPr="00933766">
        <w:rPr>
          <w:noProof/>
          <w:sz w:val="22"/>
          <w:lang w:val="fr-BE" w:eastAsia="en-GB"/>
        </w:rPr>
        <w:t>Ministry of Justice (2026), Preamble of draft law 8694 proposing amendments to the modified law of 7 November 1996, which organises the administrative jurisdiction order, to establish an Asylum and Immigration Tribunal (</w:t>
      </w:r>
      <w:r w:rsidRPr="00933766">
        <w:rPr>
          <w:i/>
          <w:iCs/>
          <w:noProof/>
          <w:sz w:val="22"/>
          <w:lang w:val="fr-BE" w:eastAsia="en-GB"/>
        </w:rPr>
        <w:t xml:space="preserve">Exposé des motifs concernant </w:t>
      </w:r>
      <w:r w:rsidRPr="003A3B7A">
        <w:rPr>
          <w:i/>
          <w:iCs/>
          <w:noProof/>
          <w:sz w:val="22"/>
          <w:lang w:val="fr-BE" w:eastAsia="en-GB"/>
        </w:rPr>
        <w:t>le projet de loi n° 8694 portant modification de la loi modifiée du 7 novembre 1996 portant organisation des juridictions de l’ordre administratif en vue d’instituer un tribunal d’asile et d'immigration</w:t>
      </w:r>
      <w:r w:rsidRPr="003A3B7A">
        <w:rPr>
          <w:noProof/>
          <w:sz w:val="22"/>
          <w:lang w:val="fr-BE" w:eastAsia="en-GB"/>
        </w:rPr>
        <w:t>)</w:t>
      </w:r>
      <w:r w:rsidRPr="00933766">
        <w:rPr>
          <w:noProof/>
          <w:sz w:val="22"/>
          <w:lang w:val="fr-BE" w:eastAsia="en-GB"/>
        </w:rPr>
        <w:t xml:space="preserve">, 28 January 2026, </w:t>
      </w:r>
      <w:hyperlink r:id="rId54" w:history="1">
        <w:r w:rsidRPr="00933766">
          <w:rPr>
            <w:rStyle w:val="Hyperlink"/>
            <w:noProof/>
            <w:sz w:val="22"/>
            <w:lang w:val="fr-BE" w:eastAsia="en-GB"/>
          </w:rPr>
          <w:t>https://legilux.public.lu/filestore/eli/dl/pl/2026/34/doc/dexpmot/1/fr/pdf/eli-dl-pl-2026-34-doc-dexpmot-1-fr-pdf.pdf</w:t>
        </w:r>
      </w:hyperlink>
      <w:r w:rsidR="007906BF" w:rsidRPr="000F1B41">
        <w:rPr>
          <w:noProof/>
          <w:sz w:val="22"/>
          <w:lang w:val="fr-BE" w:eastAsia="en-GB"/>
        </w:rPr>
        <w:t>.</w:t>
      </w:r>
      <w:r w:rsidRPr="00933766">
        <w:rPr>
          <w:noProof/>
          <w:sz w:val="22"/>
          <w:lang w:val="fr-BE" w:eastAsia="en-GB"/>
        </w:rPr>
        <w:t xml:space="preserve"> </w:t>
      </w:r>
    </w:p>
    <w:p w14:paraId="69443905" w14:textId="2B87A012" w:rsidR="002157B6" w:rsidRPr="00385C31" w:rsidRDefault="002157B6" w:rsidP="002157B6">
      <w:pPr>
        <w:spacing w:after="120"/>
        <w:rPr>
          <w:noProof/>
          <w:sz w:val="22"/>
          <w:lang w:val="fr-BE" w:eastAsia="en-GB"/>
        </w:rPr>
      </w:pPr>
      <w:r w:rsidRPr="00385C31">
        <w:rPr>
          <w:noProof/>
          <w:sz w:val="22"/>
          <w:lang w:val="fr-BE" w:eastAsia="en-GB"/>
        </w:rPr>
        <w:t>National Council for Justice (2026</w:t>
      </w:r>
      <w:r w:rsidR="004D408B">
        <w:rPr>
          <w:noProof/>
          <w:sz w:val="22"/>
          <w:lang w:val="fr-BE" w:eastAsia="en-GB"/>
        </w:rPr>
        <w:t>a</w:t>
      </w:r>
      <w:r w:rsidRPr="00385C31">
        <w:rPr>
          <w:noProof/>
          <w:sz w:val="22"/>
          <w:lang w:val="fr-BE" w:eastAsia="en-GB"/>
        </w:rPr>
        <w:t>), Opinion of the National Council for Justice on the draft law n. 8599 concerning access to and training for the professions of lawyer, notary, and bailiff (</w:t>
      </w:r>
      <w:r w:rsidRPr="00385C31">
        <w:rPr>
          <w:i/>
          <w:iCs/>
          <w:noProof/>
          <w:sz w:val="22"/>
          <w:lang w:val="fr-BE" w:eastAsia="en-GB"/>
        </w:rPr>
        <w:t>Avis du CNJ sur le projet de loi 8599 relatif à l'accès et à la formation des professions d'avocat, de notaire et d'huissier de justice</w:t>
      </w:r>
      <w:r w:rsidRPr="00385C31">
        <w:rPr>
          <w:noProof/>
          <w:sz w:val="22"/>
          <w:lang w:val="fr-BE" w:eastAsia="en-GB"/>
        </w:rPr>
        <w:t xml:space="preserve">), 4 March 2026, </w:t>
      </w:r>
      <w:hyperlink r:id="rId55" w:history="1">
        <w:r w:rsidRPr="00385C31">
          <w:rPr>
            <w:rStyle w:val="Hyperlink"/>
            <w:noProof/>
            <w:sz w:val="22"/>
            <w:lang w:val="fr-BE" w:eastAsia="en-GB"/>
          </w:rPr>
          <w:t>https://cnj.public.lu/fr/publications/avis-cnj-pl8599.html</w:t>
        </w:r>
      </w:hyperlink>
      <w:r w:rsidR="007906BF" w:rsidRPr="00385C31">
        <w:rPr>
          <w:noProof/>
          <w:sz w:val="22"/>
          <w:lang w:val="fr-BE" w:eastAsia="en-GB"/>
        </w:rPr>
        <w:t>.</w:t>
      </w:r>
      <w:r w:rsidRPr="00385C31">
        <w:rPr>
          <w:noProof/>
          <w:sz w:val="22"/>
          <w:lang w:val="fr-BE" w:eastAsia="en-GB"/>
        </w:rPr>
        <w:t xml:space="preserve"> </w:t>
      </w:r>
    </w:p>
    <w:p w14:paraId="2E01F1F3" w14:textId="21EB1261" w:rsidR="002157B6" w:rsidRPr="00385C31" w:rsidRDefault="002157B6" w:rsidP="002157B6">
      <w:pPr>
        <w:spacing w:after="120"/>
        <w:rPr>
          <w:noProof/>
          <w:sz w:val="22"/>
          <w:lang w:val="fr-BE" w:eastAsia="en-GB"/>
        </w:rPr>
      </w:pPr>
      <w:r w:rsidRPr="00385C31">
        <w:rPr>
          <w:noProof/>
          <w:sz w:val="22"/>
          <w:lang w:val="fr-BE" w:eastAsia="en-GB"/>
        </w:rPr>
        <w:t>National Council for Justice (2026</w:t>
      </w:r>
      <w:r w:rsidR="004D408B">
        <w:rPr>
          <w:noProof/>
          <w:sz w:val="22"/>
          <w:lang w:val="fr-BE" w:eastAsia="en-GB"/>
        </w:rPr>
        <w:t>b</w:t>
      </w:r>
      <w:r w:rsidRPr="00385C31">
        <w:rPr>
          <w:noProof/>
          <w:sz w:val="22"/>
          <w:lang w:val="fr-BE" w:eastAsia="en-GB"/>
        </w:rPr>
        <w:t>), Opinion of the National Council for Justice on the draft law 8694 concerning the creation of an Asylum and Immigration Court (</w:t>
      </w:r>
      <w:r w:rsidRPr="00385C31">
        <w:rPr>
          <w:i/>
          <w:iCs/>
          <w:noProof/>
          <w:sz w:val="22"/>
          <w:lang w:val="fr-BE" w:eastAsia="en-GB"/>
        </w:rPr>
        <w:t>Avis du CNJ sur le projet de loi 8694 ayant pour objet la création d’un tribunal d’asile et d’immigration</w:t>
      </w:r>
      <w:r w:rsidRPr="00385C31">
        <w:rPr>
          <w:noProof/>
          <w:sz w:val="22"/>
          <w:lang w:val="fr-BE" w:eastAsia="en-GB"/>
        </w:rPr>
        <w:t xml:space="preserve">), 4 March 2026, </w:t>
      </w:r>
      <w:hyperlink r:id="rId56" w:history="1">
        <w:r w:rsidRPr="00385C31">
          <w:rPr>
            <w:rStyle w:val="Hyperlink"/>
            <w:noProof/>
            <w:sz w:val="22"/>
            <w:lang w:val="fr-BE" w:eastAsia="en-GB"/>
          </w:rPr>
          <w:t>https://cnj.public.lu/fr/publications/avis-cnj-pl8694.html</w:t>
        </w:r>
      </w:hyperlink>
      <w:r w:rsidR="007906BF" w:rsidRPr="00385C31">
        <w:rPr>
          <w:noProof/>
          <w:sz w:val="22"/>
          <w:lang w:val="fr-BE" w:eastAsia="en-GB"/>
        </w:rPr>
        <w:t>.</w:t>
      </w:r>
      <w:r w:rsidRPr="00385C31">
        <w:rPr>
          <w:noProof/>
          <w:sz w:val="22"/>
          <w:lang w:val="fr-BE" w:eastAsia="en-GB"/>
        </w:rPr>
        <w:t xml:space="preserve"> </w:t>
      </w:r>
    </w:p>
    <w:p w14:paraId="7F0F4B3F" w14:textId="51ECC25A" w:rsidR="00E53886" w:rsidRPr="003A3B7A" w:rsidRDefault="00E53886" w:rsidP="00E53886">
      <w:pPr>
        <w:spacing w:after="120"/>
        <w:rPr>
          <w:noProof/>
          <w:sz w:val="22"/>
          <w:lang w:eastAsia="en-GB"/>
        </w:rPr>
      </w:pPr>
      <w:r w:rsidRPr="003A3B7A">
        <w:rPr>
          <w:noProof/>
          <w:sz w:val="22"/>
          <w:lang w:eastAsia="en-GB"/>
        </w:rPr>
        <w:t>National Council for Justice (2026</w:t>
      </w:r>
      <w:r w:rsidR="004D408B">
        <w:rPr>
          <w:noProof/>
          <w:sz w:val="22"/>
          <w:lang w:eastAsia="en-GB"/>
        </w:rPr>
        <w:t>c</w:t>
      </w:r>
      <w:r w:rsidRPr="003A3B7A">
        <w:rPr>
          <w:noProof/>
          <w:sz w:val="22"/>
          <w:lang w:eastAsia="en-GB"/>
        </w:rPr>
        <w:t>), Recommendation n. 04/2026 (</w:t>
      </w:r>
      <w:r w:rsidRPr="00933766">
        <w:rPr>
          <w:i/>
          <w:iCs/>
          <w:noProof/>
          <w:sz w:val="22"/>
          <w:lang w:eastAsia="en-GB"/>
        </w:rPr>
        <w:t>Recommandation no 04/2026</w:t>
      </w:r>
      <w:r w:rsidRPr="003A3B7A">
        <w:rPr>
          <w:noProof/>
          <w:sz w:val="22"/>
          <w:lang w:eastAsia="en-GB"/>
        </w:rPr>
        <w:t xml:space="preserve">), 17 March 2026, </w:t>
      </w:r>
      <w:hyperlink r:id="rId57" w:history="1">
        <w:r w:rsidRPr="003A3B7A">
          <w:rPr>
            <w:rStyle w:val="Hyperlink"/>
            <w:noProof/>
            <w:sz w:val="22"/>
            <w:lang w:eastAsia="en-GB"/>
          </w:rPr>
          <w:t>https://cnj.public.lu/fr/publications/recommandation4.html</w:t>
        </w:r>
      </w:hyperlink>
      <w:r w:rsidR="007906BF" w:rsidRPr="006536D8">
        <w:rPr>
          <w:noProof/>
          <w:sz w:val="22"/>
          <w:lang w:eastAsia="en-GB"/>
        </w:rPr>
        <w:t>.</w:t>
      </w:r>
      <w:r w:rsidRPr="003A3B7A">
        <w:rPr>
          <w:noProof/>
          <w:sz w:val="22"/>
          <w:lang w:eastAsia="en-GB"/>
        </w:rPr>
        <w:t xml:space="preserve"> </w:t>
      </w:r>
    </w:p>
    <w:p w14:paraId="49861F35" w14:textId="7B7483CB" w:rsidR="009D6C6B" w:rsidRDefault="009D6C6B" w:rsidP="009D6C6B">
      <w:pPr>
        <w:spacing w:after="120"/>
        <w:rPr>
          <w:noProof/>
          <w:sz w:val="22"/>
          <w:lang w:eastAsia="en-GB"/>
        </w:rPr>
      </w:pPr>
      <w:r w:rsidRPr="00190EFE">
        <w:rPr>
          <w:noProof/>
          <w:sz w:val="22"/>
          <w:lang w:eastAsia="en-GB"/>
        </w:rPr>
        <w:t xml:space="preserve">OECD (2024), </w:t>
      </w:r>
      <w:r w:rsidRPr="00385C31">
        <w:rPr>
          <w:i/>
          <w:iCs/>
          <w:noProof/>
          <w:sz w:val="22"/>
          <w:lang w:eastAsia="en-GB"/>
        </w:rPr>
        <w:t>Implementing the OECD Anti-Bribery Convention in Luxembourg, Phase 4 Report by the OECD Working Group on Bribery</w:t>
      </w:r>
      <w:r w:rsidRPr="00190EFE">
        <w:rPr>
          <w:noProof/>
          <w:sz w:val="22"/>
          <w:lang w:eastAsia="en-GB"/>
        </w:rPr>
        <w:t xml:space="preserve">, 4 March 2024, </w:t>
      </w:r>
      <w:hyperlink r:id="rId58" w:history="1">
        <w:r w:rsidR="008A6EC0" w:rsidRPr="001366CD">
          <w:rPr>
            <w:rStyle w:val="Hyperlink"/>
            <w:noProof/>
            <w:sz w:val="22"/>
            <w:lang w:eastAsia="en-GB"/>
          </w:rPr>
          <w:t>https://www.oecd.org/en/publications/2024/03/implementing-the-oecd-anti-bribery-convention-in-luxembourg_43a6beb2.html</w:t>
        </w:r>
      </w:hyperlink>
      <w:r w:rsidR="008A6EC0">
        <w:rPr>
          <w:noProof/>
          <w:sz w:val="22"/>
          <w:lang w:eastAsia="en-GB"/>
        </w:rPr>
        <w:t xml:space="preserve"> </w:t>
      </w:r>
    </w:p>
    <w:p w14:paraId="1C919EE3" w14:textId="56BC0E51" w:rsidR="00E53886" w:rsidRPr="003A3B7A" w:rsidRDefault="00E53886" w:rsidP="00E53886">
      <w:pPr>
        <w:spacing w:after="120"/>
        <w:rPr>
          <w:noProof/>
          <w:sz w:val="22"/>
          <w:lang w:eastAsia="en-GB"/>
        </w:rPr>
      </w:pPr>
      <w:r w:rsidRPr="003A3B7A">
        <w:rPr>
          <w:noProof/>
          <w:sz w:val="22"/>
          <w:lang w:eastAsia="en-GB"/>
        </w:rPr>
        <w:t xml:space="preserve">OECD (2025), </w:t>
      </w:r>
      <w:r w:rsidRPr="00933766">
        <w:rPr>
          <w:i/>
          <w:iCs/>
          <w:noProof/>
          <w:sz w:val="22"/>
          <w:lang w:eastAsia="en-GB"/>
        </w:rPr>
        <w:t>Better Regulation Practices across the European Union 2025</w:t>
      </w:r>
      <w:r w:rsidRPr="003A3B7A">
        <w:rPr>
          <w:noProof/>
          <w:sz w:val="22"/>
          <w:lang w:eastAsia="en-GB"/>
        </w:rPr>
        <w:t xml:space="preserve">, 29 September 2025, </w:t>
      </w:r>
      <w:hyperlink r:id="rId59" w:history="1">
        <w:r w:rsidRPr="003A3B7A">
          <w:rPr>
            <w:rStyle w:val="Hyperlink"/>
            <w:noProof/>
            <w:sz w:val="22"/>
            <w:lang w:eastAsia="en-GB"/>
          </w:rPr>
          <w:t>https://www.oecd.org/en/publications/better-regulation-practices-across-the-european-union-2025_6f007516-en.html</w:t>
        </w:r>
      </w:hyperlink>
      <w:r w:rsidR="007906BF" w:rsidRPr="006536D8">
        <w:rPr>
          <w:noProof/>
          <w:sz w:val="22"/>
          <w:lang w:eastAsia="en-GB"/>
        </w:rPr>
        <w:t>.</w:t>
      </w:r>
      <w:r w:rsidRPr="003A3B7A">
        <w:rPr>
          <w:noProof/>
          <w:sz w:val="22"/>
          <w:lang w:eastAsia="en-GB"/>
        </w:rPr>
        <w:t xml:space="preserve"> </w:t>
      </w:r>
    </w:p>
    <w:p w14:paraId="19892E94" w14:textId="77777777" w:rsidR="00E53886" w:rsidRPr="003A3B7A" w:rsidRDefault="00E53886" w:rsidP="00E53886">
      <w:pPr>
        <w:spacing w:after="120"/>
        <w:rPr>
          <w:noProof/>
          <w:sz w:val="22"/>
          <w:lang w:eastAsia="en-GB"/>
        </w:rPr>
      </w:pPr>
      <w:r w:rsidRPr="003A3B7A">
        <w:rPr>
          <w:noProof/>
          <w:sz w:val="22"/>
          <w:lang w:eastAsia="en-GB"/>
        </w:rPr>
        <w:t xml:space="preserve">Ombudsman for Children and Youth (2026a), </w:t>
      </w:r>
      <w:r w:rsidRPr="00933766">
        <w:rPr>
          <w:i/>
          <w:iCs/>
          <w:noProof/>
          <w:sz w:val="22"/>
          <w:lang w:eastAsia="en-GB"/>
        </w:rPr>
        <w:t>Input from the Ombudsman for Children and Youth for the 2026 Rule of Law Report</w:t>
      </w:r>
      <w:r w:rsidRPr="003A3B7A">
        <w:rPr>
          <w:noProof/>
          <w:sz w:val="22"/>
          <w:lang w:eastAsia="en-GB"/>
        </w:rPr>
        <w:t>.</w:t>
      </w:r>
    </w:p>
    <w:p w14:paraId="3ECC9B83" w14:textId="77777777" w:rsidR="00E53886" w:rsidRPr="003A3B7A" w:rsidRDefault="00E53886" w:rsidP="00E53886">
      <w:pPr>
        <w:spacing w:after="120"/>
        <w:rPr>
          <w:noProof/>
          <w:sz w:val="22"/>
          <w:lang w:eastAsia="en-GB"/>
        </w:rPr>
      </w:pPr>
      <w:r w:rsidRPr="003A3B7A">
        <w:rPr>
          <w:noProof/>
          <w:sz w:val="22"/>
          <w:lang w:eastAsia="en-GB"/>
        </w:rPr>
        <w:t xml:space="preserve">Ombudsman for Children and Youth (2026b), </w:t>
      </w:r>
      <w:r w:rsidRPr="00933766">
        <w:rPr>
          <w:i/>
          <w:iCs/>
          <w:noProof/>
          <w:sz w:val="22"/>
          <w:lang w:eastAsia="en-GB"/>
        </w:rPr>
        <w:t xml:space="preserve">additional written input </w:t>
      </w:r>
      <w:r w:rsidRPr="003A3B7A">
        <w:rPr>
          <w:i/>
          <w:iCs/>
          <w:noProof/>
          <w:sz w:val="22"/>
          <w:lang w:eastAsia="en-GB"/>
        </w:rPr>
        <w:t>from the Ombudsman for Children and Youth for the 2026 Rule of Law Report</w:t>
      </w:r>
      <w:r w:rsidRPr="003A3B7A">
        <w:rPr>
          <w:noProof/>
          <w:sz w:val="22"/>
          <w:lang w:eastAsia="en-GB"/>
        </w:rPr>
        <w:t>.</w:t>
      </w:r>
    </w:p>
    <w:p w14:paraId="4A76CFD3" w14:textId="65A27CCA" w:rsidR="00E53886" w:rsidRPr="003A3B7A" w:rsidRDefault="00E53886" w:rsidP="00E53886">
      <w:pPr>
        <w:spacing w:after="120"/>
        <w:rPr>
          <w:noProof/>
          <w:sz w:val="22"/>
          <w:lang w:eastAsia="en-GB"/>
        </w:rPr>
      </w:pPr>
      <w:r w:rsidRPr="003A3B7A">
        <w:rPr>
          <w:noProof/>
          <w:sz w:val="22"/>
          <w:lang w:eastAsia="en-GB"/>
        </w:rPr>
        <w:t xml:space="preserve">Prosecution Service (2026), </w:t>
      </w:r>
      <w:r w:rsidRPr="00933766">
        <w:rPr>
          <w:i/>
          <w:iCs/>
          <w:noProof/>
          <w:sz w:val="22"/>
          <w:lang w:eastAsia="en-GB"/>
        </w:rPr>
        <w:t>additional written input from the Prosecution Service for the 2026 Rule of Law Report</w:t>
      </w:r>
      <w:r w:rsidRPr="003A3B7A">
        <w:rPr>
          <w:noProof/>
          <w:sz w:val="22"/>
          <w:lang w:eastAsia="en-GB"/>
        </w:rPr>
        <w:t>.</w:t>
      </w:r>
    </w:p>
    <w:p w14:paraId="4B0FA652" w14:textId="48137A5F" w:rsidR="00E53886" w:rsidRPr="00933766" w:rsidRDefault="00E53886" w:rsidP="00E53886">
      <w:pPr>
        <w:spacing w:after="120"/>
        <w:rPr>
          <w:noProof/>
          <w:sz w:val="22"/>
          <w:lang w:val="fr-BE" w:eastAsia="en-GB"/>
        </w:rPr>
      </w:pPr>
      <w:r w:rsidRPr="00933766">
        <w:rPr>
          <w:noProof/>
          <w:sz w:val="22"/>
          <w:lang w:val="fr-BE" w:eastAsia="en-GB"/>
        </w:rPr>
        <w:t xml:space="preserve">Union of </w:t>
      </w:r>
      <w:r w:rsidRPr="00933766">
        <w:rPr>
          <w:rStyle w:val="Bodytext1"/>
          <w:noProof/>
          <w:sz w:val="22"/>
          <w:lang w:val="fr-BE"/>
        </w:rPr>
        <w:t xml:space="preserve">cities and municipalities of </w:t>
      </w:r>
      <w:r w:rsidRPr="003A3B7A">
        <w:rPr>
          <w:rStyle w:val="Bodytext1"/>
          <w:noProof/>
          <w:sz w:val="22"/>
          <w:lang w:val="fr-BE"/>
        </w:rPr>
        <w:t>Luxembourg (2022)</w:t>
      </w:r>
      <w:r w:rsidRPr="00933766">
        <w:rPr>
          <w:rStyle w:val="Bodytext1"/>
          <w:noProof/>
          <w:sz w:val="22"/>
          <w:lang w:val="fr-BE"/>
        </w:rPr>
        <w:t xml:space="preserve">, </w:t>
      </w:r>
      <w:r w:rsidRPr="00933766">
        <w:rPr>
          <w:noProof/>
          <w:sz w:val="22"/>
          <w:lang w:val="fr-BE" w:eastAsia="en-GB"/>
        </w:rPr>
        <w:t>Opinion on the draft law proposing amendments to the modified Municipal Law of 13 December 1988; The Criminal Code; and the modified Law 19 July 2004 on Municipal Planning and Urban Development (</w:t>
      </w:r>
      <w:r w:rsidRPr="00933766">
        <w:rPr>
          <w:i/>
          <w:iCs/>
          <w:noProof/>
          <w:sz w:val="22"/>
          <w:lang w:val="fr-BE" w:eastAsia="en-GB"/>
        </w:rPr>
        <w:t>Avis du Syndicat des Villes et Communes Luxembourgeoises concernant le projet de loi portant modification : de la loi communale modifiée du 13 décembre 1988 ; du Code pénal ; de la loi modifiée du 19 juillet 2004 sur l’aménagement communal et le développement urbain</w:t>
      </w:r>
      <w:r w:rsidRPr="003A3B7A">
        <w:rPr>
          <w:noProof/>
          <w:sz w:val="22"/>
          <w:lang w:val="fr-BE" w:eastAsia="en-GB"/>
        </w:rPr>
        <w:t>)</w:t>
      </w:r>
      <w:r w:rsidRPr="00933766">
        <w:rPr>
          <w:noProof/>
          <w:sz w:val="22"/>
          <w:lang w:val="fr-BE" w:eastAsia="en-GB"/>
        </w:rPr>
        <w:t xml:space="preserve">, 12 July 2022, </w:t>
      </w:r>
      <w:hyperlink r:id="rId60" w:history="1">
        <w:r w:rsidRPr="00933766">
          <w:rPr>
            <w:rStyle w:val="Hyperlink"/>
            <w:noProof/>
            <w:sz w:val="22"/>
            <w:lang w:val="fr-BE" w:eastAsia="en-GB"/>
          </w:rPr>
          <w:t>20250515_Avis_2.pdf</w:t>
        </w:r>
      </w:hyperlink>
      <w:r w:rsidR="007906BF" w:rsidRPr="000F1B41">
        <w:rPr>
          <w:noProof/>
          <w:sz w:val="22"/>
          <w:lang w:val="fr-BE" w:eastAsia="en-GB"/>
        </w:rPr>
        <w:t>.</w:t>
      </w:r>
    </w:p>
    <w:p w14:paraId="326C7B5F" w14:textId="7B9449F7" w:rsidR="00E53886" w:rsidRPr="00933766" w:rsidRDefault="00E53886" w:rsidP="00E53886">
      <w:pPr>
        <w:spacing w:after="120"/>
        <w:rPr>
          <w:noProof/>
          <w:sz w:val="22"/>
          <w:lang w:val="fr-BE" w:eastAsia="en-GB"/>
        </w:rPr>
      </w:pPr>
      <w:r w:rsidRPr="00933766">
        <w:rPr>
          <w:noProof/>
          <w:sz w:val="22"/>
          <w:lang w:val="fr-BE" w:eastAsia="en-GB"/>
        </w:rPr>
        <w:t>Whistleblower Office (2026</w:t>
      </w:r>
      <w:r>
        <w:rPr>
          <w:noProof/>
          <w:sz w:val="22"/>
          <w:lang w:val="fr-BE" w:eastAsia="en-GB"/>
        </w:rPr>
        <w:t>a</w:t>
      </w:r>
      <w:r w:rsidRPr="00933766">
        <w:rPr>
          <w:noProof/>
          <w:sz w:val="22"/>
          <w:lang w:val="fr-BE" w:eastAsia="en-GB"/>
        </w:rPr>
        <w:t>), 2024 Activity Report (</w:t>
      </w:r>
      <w:r w:rsidRPr="00933766">
        <w:rPr>
          <w:i/>
          <w:iCs/>
          <w:noProof/>
          <w:sz w:val="22"/>
          <w:lang w:val="fr-BE" w:eastAsia="en-GB"/>
        </w:rPr>
        <w:t>Rapport d’activités de l’Office des signalements 2024</w:t>
      </w:r>
      <w:r w:rsidRPr="003A3B7A">
        <w:rPr>
          <w:noProof/>
          <w:sz w:val="22"/>
          <w:lang w:val="fr-BE" w:eastAsia="en-GB"/>
        </w:rPr>
        <w:t>)</w:t>
      </w:r>
      <w:r w:rsidRPr="00933766">
        <w:rPr>
          <w:noProof/>
          <w:sz w:val="22"/>
          <w:lang w:val="fr-BE" w:eastAsia="en-GB"/>
        </w:rPr>
        <w:t xml:space="preserve">, 10 March 2026, </w:t>
      </w:r>
      <w:hyperlink r:id="rId61" w:history="1">
        <w:r w:rsidRPr="00933766">
          <w:rPr>
            <w:rStyle w:val="Hyperlink"/>
            <w:noProof/>
            <w:sz w:val="22"/>
            <w:lang w:val="fr-BE" w:eastAsia="en-GB"/>
          </w:rPr>
          <w:t>https://gouvernement.lu/dam-assets/publications/rapport-activite/minist-justice/osig/rapport-annuel-osig-2024-vf.pdf</w:t>
        </w:r>
      </w:hyperlink>
      <w:r w:rsidR="007906BF" w:rsidRPr="000F1B41">
        <w:rPr>
          <w:noProof/>
          <w:sz w:val="22"/>
          <w:lang w:val="fr-BE" w:eastAsia="en-GB"/>
        </w:rPr>
        <w:t>.</w:t>
      </w:r>
      <w:r w:rsidRPr="00933766">
        <w:rPr>
          <w:noProof/>
          <w:sz w:val="22"/>
          <w:lang w:val="fr-BE" w:eastAsia="en-GB"/>
        </w:rPr>
        <w:t xml:space="preserve"> </w:t>
      </w:r>
    </w:p>
    <w:p w14:paraId="06C5AE5A" w14:textId="77777777" w:rsidR="00E53886" w:rsidRPr="00D007DA" w:rsidRDefault="00E53886" w:rsidP="00E53886">
      <w:pPr>
        <w:spacing w:after="120"/>
        <w:rPr>
          <w:noProof/>
          <w:sz w:val="22"/>
          <w:lang w:val="en-IE" w:eastAsia="en-GB"/>
        </w:rPr>
      </w:pPr>
      <w:r w:rsidRPr="00D007DA">
        <w:rPr>
          <w:noProof/>
          <w:sz w:val="22"/>
          <w:lang w:val="en-IE" w:eastAsia="en-GB"/>
        </w:rPr>
        <w:t xml:space="preserve">Whistleblower Office (2026b), </w:t>
      </w:r>
      <w:r>
        <w:rPr>
          <w:i/>
          <w:iCs/>
          <w:noProof/>
          <w:sz w:val="22"/>
          <w:lang w:val="en-IE" w:eastAsia="en-GB"/>
        </w:rPr>
        <w:t xml:space="preserve">statistical data collected based on Article 27(2) of the </w:t>
      </w:r>
      <w:r w:rsidRPr="009B1BA3">
        <w:rPr>
          <w:i/>
          <w:iCs/>
          <w:noProof/>
          <w:sz w:val="22"/>
          <w:lang w:val="en-IE" w:eastAsia="en-GB"/>
        </w:rPr>
        <w:t>Directive (EU) 2019/1937 of the European Parliament and of the Council of 23 October 2019 on the protection of persons who report breaches of Union law</w:t>
      </w:r>
      <w:r w:rsidRPr="00D007DA">
        <w:rPr>
          <w:i/>
          <w:iCs/>
          <w:noProof/>
          <w:sz w:val="22"/>
          <w:lang w:val="en-IE" w:eastAsia="en-GB"/>
        </w:rPr>
        <w:t>.</w:t>
      </w:r>
    </w:p>
    <w:p w14:paraId="68BE6711" w14:textId="77777777" w:rsidR="00E53886" w:rsidRPr="00973061" w:rsidRDefault="00E53886" w:rsidP="00E53886">
      <w:pPr>
        <w:pageBreakBefore/>
        <w:spacing w:after="120" w:line="264" w:lineRule="auto"/>
        <w:rPr>
          <w:b/>
          <w:noProof/>
          <w:lang w:eastAsia="en-GB"/>
        </w:rPr>
      </w:pPr>
      <w:r w:rsidRPr="00973061">
        <w:rPr>
          <w:b/>
          <w:noProof/>
          <w:lang w:eastAsia="en-GB"/>
        </w:rPr>
        <w:t>Annex II: Country visit to Luxembourg</w:t>
      </w:r>
    </w:p>
    <w:p w14:paraId="6B84F61A" w14:textId="77777777" w:rsidR="00E53886" w:rsidRPr="00973061" w:rsidRDefault="00E53886" w:rsidP="00E53886">
      <w:pPr>
        <w:spacing w:after="120" w:line="264" w:lineRule="auto"/>
        <w:rPr>
          <w:noProof/>
          <w:shd w:val="clear" w:color="auto" w:fill="FFFFFF"/>
          <w:lang w:eastAsia="en-GB"/>
        </w:rPr>
      </w:pPr>
      <w:r w:rsidRPr="00973061">
        <w:rPr>
          <w:noProof/>
          <w:lang w:eastAsia="en-GB"/>
        </w:rPr>
        <w:t>The Commission services held virtual meetings in March 2026 with:</w:t>
      </w:r>
    </w:p>
    <w:p w14:paraId="66E2381B"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Administrative Court</w:t>
      </w:r>
    </w:p>
    <w:p w14:paraId="0F8F5CF9" w14:textId="77777777" w:rsidR="00E53886" w:rsidRPr="00512E39" w:rsidRDefault="00E53886" w:rsidP="00E53886">
      <w:pPr>
        <w:numPr>
          <w:ilvl w:val="0"/>
          <w:numId w:val="21"/>
        </w:numPr>
        <w:spacing w:after="0" w:line="256" w:lineRule="auto"/>
        <w:contextualSpacing/>
        <w:rPr>
          <w:noProof/>
          <w:szCs w:val="24"/>
          <w:bdr w:val="none" w:sz="0" w:space="0" w:color="auto" w:frame="1"/>
        </w:rPr>
      </w:pPr>
      <w:r w:rsidRPr="00512E39">
        <w:rPr>
          <w:noProof/>
          <w:szCs w:val="24"/>
          <w:bdr w:val="none" w:sz="0" w:space="0" w:color="auto" w:frame="1"/>
        </w:rPr>
        <w:t>Bars associations of Luxembourg and Diekirch</w:t>
      </w:r>
    </w:p>
    <w:p w14:paraId="09EE64EC"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Chamber of Deputies</w:t>
      </w:r>
    </w:p>
    <w:p w14:paraId="19A26882"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Committee of Deontology</w:t>
      </w:r>
    </w:p>
    <w:p w14:paraId="0690149A"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Commission for Access to Documents</w:t>
      </w:r>
    </w:p>
    <w:p w14:paraId="60731576"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Committee for the Prevention of Corruption (COPRECO)</w:t>
      </w:r>
    </w:p>
    <w:p w14:paraId="3A0B2E94"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Constitutional Court</w:t>
      </w:r>
    </w:p>
    <w:p w14:paraId="5A06AE05"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Consultative Commission for Human Rights (CCDH)</w:t>
      </w:r>
    </w:p>
    <w:p w14:paraId="4D4ECFE1"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Council of State</w:t>
      </w:r>
    </w:p>
    <w:p w14:paraId="6389D150"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Court of audit</w:t>
      </w:r>
    </w:p>
    <w:p w14:paraId="392FDD74"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Grand Ducal Police</w:t>
      </w:r>
    </w:p>
    <w:p w14:paraId="7C4F7A7D" w14:textId="77777777" w:rsidR="00E53886" w:rsidRPr="00DB0A84" w:rsidRDefault="00E53886" w:rsidP="00E53886">
      <w:pPr>
        <w:numPr>
          <w:ilvl w:val="0"/>
          <w:numId w:val="21"/>
        </w:numPr>
        <w:spacing w:after="0" w:line="256" w:lineRule="auto"/>
        <w:contextualSpacing/>
        <w:rPr>
          <w:noProof/>
          <w:szCs w:val="24"/>
          <w:bdr w:val="none" w:sz="0" w:space="0" w:color="auto" w:frame="1"/>
          <w:lang w:val="fr-BE"/>
        </w:rPr>
      </w:pPr>
      <w:r w:rsidRPr="00DB0A84">
        <w:rPr>
          <w:noProof/>
          <w:szCs w:val="24"/>
          <w:bdr w:val="none" w:sz="0" w:space="0" w:color="auto" w:frame="1"/>
          <w:lang w:val="fr-BE"/>
        </w:rPr>
        <w:t>Initiative Devoir de Vigilance (IDV)</w:t>
      </w:r>
    </w:p>
    <w:p w14:paraId="101AF4F7" w14:textId="77777777" w:rsidR="00E53886" w:rsidRDefault="00E53886" w:rsidP="00E53886">
      <w:pPr>
        <w:numPr>
          <w:ilvl w:val="0"/>
          <w:numId w:val="21"/>
        </w:numPr>
        <w:spacing w:after="0" w:line="256" w:lineRule="auto"/>
        <w:contextualSpacing/>
        <w:rPr>
          <w:noProof/>
          <w:szCs w:val="24"/>
          <w:bdr w:val="none" w:sz="0" w:space="0" w:color="auto" w:frame="1"/>
        </w:rPr>
      </w:pPr>
      <w:r w:rsidRPr="002615AB">
        <w:rPr>
          <w:noProof/>
          <w:szCs w:val="24"/>
          <w:bdr w:val="none" w:sz="0" w:space="0" w:color="auto" w:frame="1"/>
        </w:rPr>
        <w:t xml:space="preserve">Luxembourg Association of Professional Journalists </w:t>
      </w:r>
      <w:r>
        <w:rPr>
          <w:noProof/>
          <w:szCs w:val="24"/>
          <w:bdr w:val="none" w:sz="0" w:space="0" w:color="auto" w:frame="1"/>
        </w:rPr>
        <w:t>(ALJP)</w:t>
      </w:r>
    </w:p>
    <w:p w14:paraId="75345C67" w14:textId="77777777" w:rsidR="00E53886" w:rsidRPr="002615AB" w:rsidRDefault="00E53886" w:rsidP="00E53886">
      <w:pPr>
        <w:numPr>
          <w:ilvl w:val="0"/>
          <w:numId w:val="21"/>
        </w:numPr>
        <w:spacing w:after="0" w:line="256" w:lineRule="auto"/>
        <w:contextualSpacing/>
        <w:rPr>
          <w:noProof/>
          <w:szCs w:val="24"/>
          <w:bdr w:val="none" w:sz="0" w:space="0" w:color="auto" w:frame="1"/>
        </w:rPr>
      </w:pPr>
      <w:r w:rsidRPr="002615AB">
        <w:rPr>
          <w:noProof/>
          <w:szCs w:val="24"/>
          <w:bdr w:val="none" w:sz="0" w:space="0" w:color="auto" w:frame="1"/>
        </w:rPr>
        <w:t>Luxembourg Association of News Media (ALMI)</w:t>
      </w:r>
    </w:p>
    <w:p w14:paraId="74C9CFDB"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Luxembourg Chamber of Commerce</w:t>
      </w:r>
    </w:p>
    <w:p w14:paraId="7D37E8E2"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Luxembourg Chamber of Trades</w:t>
      </w:r>
    </w:p>
    <w:p w14:paraId="64EE2EB2"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Luxembourg Press Council</w:t>
      </w:r>
    </w:p>
    <w:p w14:paraId="2082419A"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Luxembourgish Magistrates’ Association</w:t>
      </w:r>
    </w:p>
    <w:p w14:paraId="401B69BE"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Luxembourgish Media Regulator (ALIA)</w:t>
      </w:r>
    </w:p>
    <w:p w14:paraId="76B46BB9"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Ministry of Foreign and European Affairs</w:t>
      </w:r>
    </w:p>
    <w:p w14:paraId="02957FE9"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Ministry of Home Affairs</w:t>
      </w:r>
    </w:p>
    <w:p w14:paraId="3C58D01B"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Ministry of Justice</w:t>
      </w:r>
    </w:p>
    <w:p w14:paraId="36347A12"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Ministry of State</w:t>
      </w:r>
    </w:p>
    <w:p w14:paraId="163BE25A"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National Council for Justice</w:t>
      </w:r>
    </w:p>
    <w:p w14:paraId="12675A0F"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Ombudsman</w:t>
      </w:r>
    </w:p>
    <w:p w14:paraId="21F6B03E" w14:textId="33EF3F3A"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Ombudsman for Children and Youth</w:t>
      </w:r>
      <w:r w:rsidR="007B691A">
        <w:rPr>
          <w:noProof/>
          <w:szCs w:val="24"/>
          <w:bdr w:val="none" w:sz="0" w:space="0" w:color="auto" w:frame="1"/>
        </w:rPr>
        <w:t xml:space="preserve"> (OKAJU)</w:t>
      </w:r>
    </w:p>
    <w:p w14:paraId="0FD3F63F"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Prosecution service</w:t>
      </w:r>
    </w:p>
    <w:p w14:paraId="519A7972"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Radio 100,7</w:t>
      </w:r>
    </w:p>
    <w:p w14:paraId="2E31EAD9" w14:textId="77777777" w:rsidR="00E53886" w:rsidRPr="00973061" w:rsidRDefault="00E53886" w:rsidP="00E53886">
      <w:pPr>
        <w:numPr>
          <w:ilvl w:val="0"/>
          <w:numId w:val="21"/>
        </w:numPr>
        <w:spacing w:after="0" w:line="256" w:lineRule="auto"/>
        <w:contextualSpacing/>
        <w:rPr>
          <w:noProof/>
          <w:szCs w:val="24"/>
          <w:bdr w:val="none" w:sz="0" w:space="0" w:color="auto" w:frame="1"/>
        </w:rPr>
      </w:pPr>
      <w:r w:rsidRPr="00973061">
        <w:rPr>
          <w:noProof/>
          <w:szCs w:val="24"/>
          <w:bdr w:val="none" w:sz="0" w:space="0" w:color="auto" w:frame="1"/>
        </w:rPr>
        <w:t>Supreme Court of Justice</w:t>
      </w:r>
    </w:p>
    <w:p w14:paraId="4C0B57E7" w14:textId="77777777" w:rsidR="00E53886" w:rsidRPr="00973061" w:rsidRDefault="00E53886" w:rsidP="00E53886">
      <w:pPr>
        <w:spacing w:before="240" w:after="120" w:line="264" w:lineRule="auto"/>
        <w:rPr>
          <w:noProof/>
          <w:lang w:eastAsia="en-GB"/>
        </w:rPr>
      </w:pPr>
      <w:r w:rsidRPr="00973061">
        <w:rPr>
          <w:noProof/>
          <w:lang w:eastAsia="en-GB"/>
        </w:rPr>
        <w:t xml:space="preserve">* The Commission also met the following organisations in a number of horizontal meetings: </w:t>
      </w:r>
    </w:p>
    <w:p w14:paraId="6A382749" w14:textId="77777777" w:rsidR="00E53886" w:rsidRDefault="00E53886" w:rsidP="00E53886">
      <w:pPr>
        <w:numPr>
          <w:ilvl w:val="0"/>
          <w:numId w:val="22"/>
        </w:numPr>
        <w:spacing w:after="0" w:line="264" w:lineRule="auto"/>
        <w:rPr>
          <w:noProof/>
          <w:lang w:eastAsia="en-GB"/>
        </w:rPr>
      </w:pPr>
      <w:r>
        <w:rPr>
          <w:noProof/>
          <w:lang w:eastAsia="en-GB"/>
        </w:rPr>
        <w:t>Civil Liberties Union for Europe</w:t>
      </w:r>
    </w:p>
    <w:p w14:paraId="07480AB8" w14:textId="77777777" w:rsidR="00E53886" w:rsidRDefault="00E53886" w:rsidP="00E53886">
      <w:pPr>
        <w:numPr>
          <w:ilvl w:val="0"/>
          <w:numId w:val="22"/>
        </w:numPr>
        <w:spacing w:after="0" w:line="264" w:lineRule="auto"/>
        <w:rPr>
          <w:noProof/>
          <w:lang w:eastAsia="en-GB"/>
        </w:rPr>
      </w:pPr>
      <w:r>
        <w:rPr>
          <w:noProof/>
          <w:lang w:eastAsia="en-GB"/>
        </w:rPr>
        <w:t>Civil Society Europe</w:t>
      </w:r>
    </w:p>
    <w:p w14:paraId="71CFD73C" w14:textId="77777777" w:rsidR="00E53886" w:rsidRDefault="00E53886" w:rsidP="00E53886">
      <w:pPr>
        <w:numPr>
          <w:ilvl w:val="0"/>
          <w:numId w:val="22"/>
        </w:numPr>
        <w:spacing w:after="0" w:line="264" w:lineRule="auto"/>
        <w:rPr>
          <w:noProof/>
          <w:lang w:eastAsia="en-GB"/>
        </w:rPr>
      </w:pPr>
      <w:r>
        <w:rPr>
          <w:noProof/>
          <w:lang w:eastAsia="en-GB"/>
        </w:rPr>
        <w:t>End FGM EU</w:t>
      </w:r>
    </w:p>
    <w:p w14:paraId="4D8100F2" w14:textId="77777777" w:rsidR="00E53886" w:rsidRDefault="00E53886" w:rsidP="00E53886">
      <w:pPr>
        <w:numPr>
          <w:ilvl w:val="0"/>
          <w:numId w:val="22"/>
        </w:numPr>
        <w:spacing w:after="0" w:line="264" w:lineRule="auto"/>
        <w:rPr>
          <w:noProof/>
          <w:lang w:eastAsia="en-GB"/>
        </w:rPr>
      </w:pPr>
      <w:r>
        <w:rPr>
          <w:noProof/>
          <w:lang w:eastAsia="en-GB"/>
        </w:rPr>
        <w:t>European Civic Forum</w:t>
      </w:r>
    </w:p>
    <w:p w14:paraId="690E3055" w14:textId="77777777" w:rsidR="00E53886" w:rsidRDefault="00E53886" w:rsidP="00E53886">
      <w:pPr>
        <w:numPr>
          <w:ilvl w:val="0"/>
          <w:numId w:val="22"/>
        </w:numPr>
        <w:spacing w:after="0" w:line="264" w:lineRule="auto"/>
        <w:rPr>
          <w:noProof/>
          <w:lang w:eastAsia="en-GB"/>
        </w:rPr>
      </w:pPr>
      <w:r>
        <w:rPr>
          <w:noProof/>
          <w:lang w:eastAsia="en-GB"/>
        </w:rPr>
        <w:t>European Partnership for Democracy</w:t>
      </w:r>
    </w:p>
    <w:p w14:paraId="606126B6" w14:textId="77777777" w:rsidR="00E53886" w:rsidRDefault="00E53886" w:rsidP="00E53886">
      <w:pPr>
        <w:numPr>
          <w:ilvl w:val="0"/>
          <w:numId w:val="22"/>
        </w:numPr>
        <w:spacing w:after="0" w:line="264" w:lineRule="auto"/>
        <w:rPr>
          <w:noProof/>
          <w:lang w:eastAsia="en-GB"/>
        </w:rPr>
      </w:pPr>
      <w:r>
        <w:rPr>
          <w:noProof/>
          <w:lang w:eastAsia="en-GB"/>
        </w:rPr>
        <w:t>Human Rights Watch</w:t>
      </w:r>
    </w:p>
    <w:p w14:paraId="0A16FB4C" w14:textId="77777777" w:rsidR="00E53886" w:rsidRDefault="00E53886" w:rsidP="00E53886">
      <w:pPr>
        <w:numPr>
          <w:ilvl w:val="0"/>
          <w:numId w:val="22"/>
        </w:numPr>
        <w:spacing w:after="0" w:line="264" w:lineRule="auto"/>
        <w:rPr>
          <w:noProof/>
          <w:lang w:eastAsia="en-GB"/>
        </w:rPr>
      </w:pPr>
      <w:r>
        <w:rPr>
          <w:noProof/>
          <w:lang w:eastAsia="en-GB"/>
        </w:rPr>
        <w:t>ILGA-Europe</w:t>
      </w:r>
    </w:p>
    <w:p w14:paraId="2EB34AA8" w14:textId="77777777" w:rsidR="00E53886" w:rsidRDefault="00E53886" w:rsidP="00E53886">
      <w:pPr>
        <w:numPr>
          <w:ilvl w:val="0"/>
          <w:numId w:val="22"/>
        </w:numPr>
        <w:spacing w:after="0" w:line="264" w:lineRule="auto"/>
        <w:rPr>
          <w:noProof/>
          <w:lang w:eastAsia="en-GB"/>
        </w:rPr>
      </w:pPr>
      <w:r>
        <w:rPr>
          <w:noProof/>
          <w:lang w:eastAsia="en-GB"/>
        </w:rPr>
        <w:t>International Federation for Human Rights</w:t>
      </w:r>
    </w:p>
    <w:p w14:paraId="2F43E3C7" w14:textId="77777777" w:rsidR="00E53886" w:rsidRDefault="00E53886" w:rsidP="00E53886">
      <w:pPr>
        <w:numPr>
          <w:ilvl w:val="0"/>
          <w:numId w:val="22"/>
        </w:numPr>
        <w:spacing w:after="0" w:line="264" w:lineRule="auto"/>
        <w:rPr>
          <w:noProof/>
          <w:lang w:eastAsia="en-GB"/>
        </w:rPr>
      </w:pPr>
      <w:r>
        <w:rPr>
          <w:noProof/>
          <w:lang w:eastAsia="en-GB"/>
        </w:rPr>
        <w:t>Philea - Philanthropy Europe Association</w:t>
      </w:r>
    </w:p>
    <w:p w14:paraId="7C71BB12" w14:textId="68D6FDE6" w:rsidR="00CD604B" w:rsidRDefault="00E53886" w:rsidP="000F1B41">
      <w:pPr>
        <w:numPr>
          <w:ilvl w:val="0"/>
          <w:numId w:val="22"/>
        </w:numPr>
        <w:spacing w:after="0" w:line="264" w:lineRule="auto"/>
        <w:rPr>
          <w:noProof/>
        </w:rPr>
      </w:pPr>
      <w:r>
        <w:rPr>
          <w:noProof/>
          <w:lang w:eastAsia="en-GB"/>
        </w:rPr>
        <w:t>Transparency International EU</w:t>
      </w:r>
    </w:p>
    <w:sectPr w:rsidR="00CD604B" w:rsidSect="00E53886">
      <w:headerReference w:type="even" r:id="rId62"/>
      <w:headerReference w:type="default" r:id="rId63"/>
      <w:footerReference w:type="even" r:id="rId64"/>
      <w:footerReference w:type="default" r:id="rId65"/>
      <w:headerReference w:type="first" r:id="rId66"/>
      <w:footerReference w:type="first" r:id="rId67"/>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19BEF" w14:textId="77777777" w:rsidR="00EA14A7" w:rsidRDefault="00EA14A7">
      <w:pPr>
        <w:spacing w:after="0"/>
      </w:pPr>
      <w:r>
        <w:separator/>
      </w:r>
    </w:p>
  </w:endnote>
  <w:endnote w:type="continuationSeparator" w:id="0">
    <w:p w14:paraId="040E0F10" w14:textId="77777777" w:rsidR="00EA14A7" w:rsidRDefault="00EA14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B24BA" w14:textId="1E493529" w:rsidR="00DD714E" w:rsidRPr="00DD714E" w:rsidRDefault="00DD714E" w:rsidP="00DD714E">
    <w:pPr>
      <w:pStyle w:val="FooterCoverPage"/>
      <w:rPr>
        <w:rFonts w:ascii="Arial" w:hAnsi="Arial" w:cs="Arial"/>
        <w:b/>
        <w:sz w:val="48"/>
      </w:rPr>
    </w:pPr>
    <w:r w:rsidRPr="00DD714E">
      <w:rPr>
        <w:rFonts w:ascii="Arial" w:hAnsi="Arial" w:cs="Arial"/>
        <w:b/>
        <w:sz w:val="48"/>
      </w:rPr>
      <w:t>EN</w:t>
    </w:r>
    <w:r w:rsidRPr="00DD714E">
      <w:rPr>
        <w:rFonts w:ascii="Arial" w:hAnsi="Arial" w:cs="Arial"/>
        <w:b/>
        <w:sz w:val="48"/>
      </w:rPr>
      <w:tab/>
    </w:r>
    <w:r w:rsidRPr="00DD714E">
      <w:rPr>
        <w:rFonts w:ascii="Arial" w:hAnsi="Arial" w:cs="Arial"/>
        <w:b/>
        <w:sz w:val="48"/>
      </w:rPr>
      <w:tab/>
    </w:r>
    <w:r w:rsidRPr="00DD714E">
      <w:tab/>
    </w:r>
    <w:r w:rsidRPr="00DD71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FFD82" w14:textId="76891839" w:rsidR="00DD714E" w:rsidRPr="00DD714E" w:rsidRDefault="00DD714E" w:rsidP="00DD714E">
    <w:pPr>
      <w:pStyle w:val="FooterCoverPage"/>
      <w:rPr>
        <w:rFonts w:ascii="Arial" w:hAnsi="Arial" w:cs="Arial"/>
        <w:b/>
        <w:sz w:val="48"/>
      </w:rPr>
    </w:pPr>
    <w:r w:rsidRPr="00DD714E">
      <w:rPr>
        <w:rFonts w:ascii="Arial" w:hAnsi="Arial" w:cs="Arial"/>
        <w:b/>
        <w:sz w:val="48"/>
      </w:rPr>
      <w:t>EN</w:t>
    </w:r>
    <w:r w:rsidRPr="00DD714E">
      <w:rPr>
        <w:rFonts w:ascii="Arial" w:hAnsi="Arial" w:cs="Arial"/>
        <w:b/>
        <w:sz w:val="48"/>
      </w:rPr>
      <w:tab/>
    </w:r>
    <w:r w:rsidRPr="00DD714E">
      <w:rPr>
        <w:rFonts w:ascii="Arial" w:hAnsi="Arial" w:cs="Arial"/>
        <w:b/>
        <w:sz w:val="48"/>
      </w:rPr>
      <w:tab/>
    </w:r>
    <w:r w:rsidRPr="00DD714E">
      <w:tab/>
    </w:r>
    <w:r w:rsidRPr="00DD71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B252D" w14:textId="77777777" w:rsidR="00DD714E" w:rsidRPr="00DD714E" w:rsidRDefault="00DD714E" w:rsidP="00DD714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6920A" w14:textId="77777777" w:rsidR="00E53886" w:rsidRDefault="00E538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20A33252" w14:textId="7BB9C48B" w:rsidR="00E53886" w:rsidRPr="00E53886" w:rsidRDefault="00E53886">
        <w:pPr>
          <w:pStyle w:val="Footer"/>
          <w:jc w:val="center"/>
          <w:rPr>
            <w:sz w:val="24"/>
            <w:szCs w:val="24"/>
          </w:rPr>
        </w:pPr>
        <w:r w:rsidRPr="00E53886">
          <w:rPr>
            <w:sz w:val="24"/>
            <w:szCs w:val="24"/>
          </w:rPr>
          <w:fldChar w:fldCharType="begin"/>
        </w:r>
        <w:r w:rsidRPr="00E53886">
          <w:rPr>
            <w:sz w:val="24"/>
            <w:szCs w:val="24"/>
          </w:rPr>
          <w:instrText xml:space="preserve"> PAGE   \* MERGEFORMAT </w:instrText>
        </w:r>
        <w:r w:rsidRPr="00E53886">
          <w:rPr>
            <w:sz w:val="24"/>
            <w:szCs w:val="24"/>
          </w:rPr>
          <w:fldChar w:fldCharType="separate"/>
        </w:r>
        <w:r w:rsidR="00DD714E">
          <w:rPr>
            <w:noProof/>
            <w:sz w:val="24"/>
            <w:szCs w:val="24"/>
          </w:rPr>
          <w:t>1</w:t>
        </w:r>
        <w:r w:rsidRPr="00E53886">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5492EFF5" w14:textId="77777777" w:rsidR="00E53886" w:rsidRDefault="00E53886">
        <w:pPr>
          <w:pStyle w:val="Footer"/>
          <w:jc w:val="center"/>
        </w:pPr>
      </w:p>
      <w:p w14:paraId="240C7860" w14:textId="77777777" w:rsidR="00E53886" w:rsidRDefault="00E53886">
        <w:pPr>
          <w:pStyle w:val="Footer"/>
          <w:jc w:val="center"/>
        </w:pPr>
      </w:p>
      <w:p w14:paraId="0D72C3B5" w14:textId="77777777" w:rsidR="00E53886" w:rsidRDefault="00E53886">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06CABF83" w14:textId="77777777" w:rsidR="00E53886" w:rsidRDefault="00E53886"/>
  <w:p w14:paraId="2B21C661" w14:textId="77777777" w:rsidR="00E53886" w:rsidRDefault="00E5388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986E9" w14:textId="77777777" w:rsidR="00EA14A7" w:rsidRDefault="00EA14A7">
      <w:pPr>
        <w:spacing w:after="0"/>
      </w:pPr>
      <w:r>
        <w:separator/>
      </w:r>
    </w:p>
  </w:footnote>
  <w:footnote w:type="continuationSeparator" w:id="0">
    <w:p w14:paraId="27AA9FDE" w14:textId="77777777" w:rsidR="00EA14A7" w:rsidRDefault="00EA14A7">
      <w:pPr>
        <w:spacing w:after="0"/>
      </w:pPr>
      <w:r>
        <w:continuationSeparator/>
      </w:r>
    </w:p>
  </w:footnote>
  <w:footnote w:id="1">
    <w:p w14:paraId="63BFE666" w14:textId="7E315B36" w:rsidR="00E53886" w:rsidRPr="00CC69E1" w:rsidRDefault="00E53886" w:rsidP="00497277">
      <w:pPr>
        <w:pStyle w:val="FootnoteText"/>
        <w:rPr>
          <w:lang w:val="en-IE"/>
        </w:rPr>
      </w:pPr>
      <w:r w:rsidRPr="00CC69E1">
        <w:rPr>
          <w:rStyle w:val="FootnoteReference"/>
          <w:lang w:val="en-IE"/>
        </w:rPr>
        <w:footnoteRef/>
      </w:r>
      <w:r>
        <w:rPr>
          <w:lang w:val="en-IE"/>
        </w:rPr>
        <w:tab/>
      </w:r>
      <w:r w:rsidRPr="00DE6E47">
        <w:t xml:space="preserve">An overview of the institutional framework for all four pillars can be found </w:t>
      </w:r>
      <w:hyperlink r:id="rId1" w:history="1">
        <w:r w:rsidRPr="008D7B58">
          <w:rPr>
            <w:rStyle w:val="Hyperlink"/>
          </w:rPr>
          <w:t>here</w:t>
        </w:r>
      </w:hyperlink>
      <w:r w:rsidRPr="00DE6E47">
        <w:t>.</w:t>
      </w:r>
    </w:p>
  </w:footnote>
  <w:footnote w:id="2">
    <w:p w14:paraId="53F6B22B" w14:textId="2CC8EC19" w:rsidR="00E53886" w:rsidRPr="00AF6756" w:rsidRDefault="00E53886" w:rsidP="00497277">
      <w:pPr>
        <w:pStyle w:val="FootnoteText"/>
      </w:pPr>
      <w:r w:rsidRPr="00AF6756">
        <w:rPr>
          <w:rStyle w:val="FootnoteReference"/>
        </w:rPr>
        <w:footnoteRef/>
      </w:r>
      <w:r w:rsidRPr="00AF6756">
        <w:t xml:space="preserve"> </w:t>
      </w:r>
      <w:r>
        <w:tab/>
      </w:r>
      <w:r w:rsidRPr="00AF6756">
        <w:t xml:space="preserve">Figures 48 and 50, 2026 EU Justice Scoreboard and </w:t>
      </w:r>
      <w:r w:rsidR="008F61B8">
        <w:t>f</w:t>
      </w:r>
      <w:r w:rsidRPr="00AF6756">
        <w:t>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3A1DF0AA" w14:textId="77777777" w:rsidR="00E53886" w:rsidRPr="007E6BC1" w:rsidRDefault="00E53886" w:rsidP="00497277">
      <w:pPr>
        <w:pStyle w:val="FootnoteText"/>
        <w:rPr>
          <w:lang w:val="en-IE"/>
        </w:rPr>
      </w:pPr>
      <w:r>
        <w:rPr>
          <w:rStyle w:val="FootnoteReference"/>
        </w:rPr>
        <w:footnoteRef/>
      </w:r>
      <w:r>
        <w:rPr>
          <w:lang w:val="en-IE"/>
        </w:rPr>
        <w:tab/>
        <w:t>2025 Rule of Law Report, Luxembourg, p. 3.</w:t>
      </w:r>
    </w:p>
  </w:footnote>
  <w:footnote w:id="4">
    <w:p w14:paraId="29A689D1" w14:textId="77777777" w:rsidR="00E53886" w:rsidRPr="00F316F5" w:rsidRDefault="00E53886" w:rsidP="00497277">
      <w:pPr>
        <w:pStyle w:val="FootnoteText"/>
        <w:rPr>
          <w:lang w:val="en-IE"/>
        </w:rPr>
      </w:pPr>
      <w:r>
        <w:rPr>
          <w:rStyle w:val="FootnoteReference"/>
        </w:rPr>
        <w:footnoteRef/>
      </w:r>
      <w:r>
        <w:t xml:space="preserve"> </w:t>
      </w:r>
      <w:r>
        <w:rPr>
          <w:lang w:val="en-IE"/>
        </w:rPr>
        <w:tab/>
        <w:t xml:space="preserve">Country visit Luxembourg, </w:t>
      </w:r>
      <w:r w:rsidRPr="00E84CC4">
        <w:rPr>
          <w:lang w:val="en-IE"/>
        </w:rPr>
        <w:t>National Council for Justice</w:t>
      </w:r>
      <w:r>
        <w:rPr>
          <w:lang w:val="en-IE"/>
        </w:rPr>
        <w:t>, Prosecution service.</w:t>
      </w:r>
    </w:p>
  </w:footnote>
  <w:footnote w:id="5">
    <w:p w14:paraId="7501EB84" w14:textId="77777777" w:rsidR="00E53886" w:rsidRPr="004E0D83" w:rsidRDefault="00E53886" w:rsidP="00497277">
      <w:pPr>
        <w:pStyle w:val="FootnoteText"/>
        <w:rPr>
          <w:lang w:val="en-IE"/>
        </w:rPr>
      </w:pPr>
      <w:r>
        <w:rPr>
          <w:rStyle w:val="FootnoteReference"/>
        </w:rPr>
        <w:footnoteRef/>
      </w:r>
      <w:r>
        <w:t xml:space="preserve"> </w:t>
      </w:r>
      <w:r>
        <w:rPr>
          <w:lang w:val="en-IE"/>
        </w:rPr>
        <w:tab/>
      </w:r>
      <w:r w:rsidRPr="00B15DDB">
        <w:rPr>
          <w:lang w:val="en-IE"/>
        </w:rPr>
        <w:t>National Council for Justice (2026a, 2026b and 2026c).</w:t>
      </w:r>
    </w:p>
  </w:footnote>
  <w:footnote w:id="6">
    <w:p w14:paraId="65B529ED" w14:textId="77777777" w:rsidR="00E53886" w:rsidRPr="00E94505" w:rsidRDefault="00E53886" w:rsidP="00497277">
      <w:pPr>
        <w:pStyle w:val="FootnoteText"/>
        <w:rPr>
          <w:lang w:val="en-IE"/>
        </w:rPr>
      </w:pPr>
      <w:r>
        <w:rPr>
          <w:rStyle w:val="FootnoteReference"/>
        </w:rPr>
        <w:footnoteRef/>
      </w:r>
      <w:r>
        <w:t xml:space="preserve"> </w:t>
      </w:r>
      <w:r>
        <w:rPr>
          <w:lang w:val="en-IE"/>
        </w:rPr>
        <w:tab/>
        <w:t xml:space="preserve">Country visit Luxembourg, President of </w:t>
      </w:r>
      <w:r w:rsidRPr="00594A10">
        <w:rPr>
          <w:lang w:val="en-IE"/>
        </w:rPr>
        <w:t>Supreme</w:t>
      </w:r>
      <w:r>
        <w:rPr>
          <w:lang w:val="en-IE"/>
        </w:rPr>
        <w:t xml:space="preserve"> </w:t>
      </w:r>
      <w:r w:rsidRPr="00594A10">
        <w:rPr>
          <w:lang w:val="en-IE"/>
        </w:rPr>
        <w:t>Court of Justice</w:t>
      </w:r>
      <w:r>
        <w:rPr>
          <w:lang w:val="en-IE"/>
        </w:rPr>
        <w:t xml:space="preserve"> and Constitutional Court and </w:t>
      </w:r>
      <w:r w:rsidRPr="004B4818">
        <w:rPr>
          <w:lang w:val="en-IE"/>
        </w:rPr>
        <w:t>Luxembourgish Magistrates’ Association</w:t>
      </w:r>
      <w:r>
        <w:rPr>
          <w:lang w:val="en-IE"/>
        </w:rPr>
        <w:t>.</w:t>
      </w:r>
    </w:p>
  </w:footnote>
  <w:footnote w:id="7">
    <w:p w14:paraId="7216566A" w14:textId="77777777" w:rsidR="00E53886" w:rsidRPr="002A435F" w:rsidRDefault="00E53886" w:rsidP="00497277">
      <w:pPr>
        <w:pStyle w:val="FootnoteText"/>
      </w:pPr>
      <w:r>
        <w:rPr>
          <w:rStyle w:val="FootnoteReference"/>
        </w:rPr>
        <w:footnoteRef/>
      </w:r>
      <w:r>
        <w:tab/>
        <w:t xml:space="preserve">The 2025 Rule of Law Report had recommended Luxembourg to “[s]tep up efforts to achieve full digitalisation of civil, criminal and administrative proceedings”. </w:t>
      </w:r>
      <w:r w:rsidRPr="00271212">
        <w:t>Some progress was previously assessed on this recommendation in 2025</w:t>
      </w:r>
      <w:r>
        <w:t>.</w:t>
      </w:r>
    </w:p>
  </w:footnote>
  <w:footnote w:id="8">
    <w:p w14:paraId="5DFE213C" w14:textId="77777777" w:rsidR="00E53886" w:rsidRPr="0006311D" w:rsidRDefault="00E53886" w:rsidP="00497277">
      <w:pPr>
        <w:pStyle w:val="FootnoteText"/>
      </w:pPr>
      <w:r>
        <w:rPr>
          <w:rStyle w:val="FootnoteReference"/>
        </w:rPr>
        <w:footnoteRef/>
      </w:r>
      <w:r>
        <w:t xml:space="preserve"> </w:t>
      </w:r>
      <w:r>
        <w:tab/>
        <w:t>The Committee comprises representatives from the Ministry of Justice, the judiciary, the Bar, the prosecution service, notaries and bailiffs (follow-up meeting Luxembourg, 2026); Luxembourg Government (2026a), written input, p. 3.</w:t>
      </w:r>
    </w:p>
  </w:footnote>
  <w:footnote w:id="9">
    <w:p w14:paraId="794DD708" w14:textId="77777777" w:rsidR="00E53886" w:rsidRPr="00ED4B0B" w:rsidRDefault="00E53886" w:rsidP="00497277">
      <w:pPr>
        <w:pStyle w:val="FootnoteText"/>
        <w:rPr>
          <w:lang w:val="en-IE"/>
        </w:rPr>
      </w:pPr>
      <w:r>
        <w:rPr>
          <w:rStyle w:val="FootnoteReference"/>
        </w:rPr>
        <w:footnoteRef/>
      </w:r>
      <w:r>
        <w:t xml:space="preserve"> </w:t>
      </w:r>
      <w:r>
        <w:tab/>
        <w:t xml:space="preserve">Country visit Luxembourg, Ministry of Justice, </w:t>
      </w:r>
      <w:r>
        <w:rPr>
          <w:lang w:val="en-IE"/>
        </w:rPr>
        <w:t xml:space="preserve">President of </w:t>
      </w:r>
      <w:r w:rsidRPr="00594A10">
        <w:rPr>
          <w:lang w:val="en-IE"/>
        </w:rPr>
        <w:t>Supreme Court of Justice</w:t>
      </w:r>
      <w:r>
        <w:rPr>
          <w:lang w:val="en-IE"/>
        </w:rPr>
        <w:t xml:space="preserve"> and Constitutional Court</w:t>
      </w:r>
      <w:r>
        <w:t>.</w:t>
      </w:r>
    </w:p>
  </w:footnote>
  <w:footnote w:id="10">
    <w:p w14:paraId="3A3F3EC0" w14:textId="77777777" w:rsidR="00E53886" w:rsidRPr="00C309CB" w:rsidRDefault="00E53886" w:rsidP="00497277">
      <w:pPr>
        <w:pStyle w:val="FootnoteText"/>
      </w:pPr>
      <w:r>
        <w:rPr>
          <w:rStyle w:val="FootnoteReference"/>
        </w:rPr>
        <w:footnoteRef/>
      </w:r>
      <w:r>
        <w:t xml:space="preserve"> </w:t>
      </w:r>
      <w:r>
        <w:tab/>
        <w:t>Luxembourg Government (2026b), additional written input, pp. 1 and 4.</w:t>
      </w:r>
    </w:p>
  </w:footnote>
  <w:footnote w:id="11">
    <w:p w14:paraId="27571482" w14:textId="77777777" w:rsidR="00E53886" w:rsidRPr="00766914" w:rsidRDefault="00E53886" w:rsidP="00497277">
      <w:pPr>
        <w:pStyle w:val="FootnoteText"/>
      </w:pPr>
      <w:r>
        <w:rPr>
          <w:rStyle w:val="FootnoteReference"/>
        </w:rPr>
        <w:footnoteRef/>
      </w:r>
      <w:r>
        <w:t xml:space="preserve"> </w:t>
      </w:r>
      <w:r>
        <w:tab/>
      </w:r>
      <w:r w:rsidRPr="006F5192">
        <w:t>Luxembourg Government (2026c),</w:t>
      </w:r>
      <w:r>
        <w:t xml:space="preserve"> additional written input, pp. 8-9; Luxembourg Government (2026a), written input, pp. 2-3.</w:t>
      </w:r>
    </w:p>
  </w:footnote>
  <w:footnote w:id="12">
    <w:p w14:paraId="52BA8103" w14:textId="77777777" w:rsidR="00E53886" w:rsidRPr="000E7CB9" w:rsidRDefault="00E53886" w:rsidP="00497277">
      <w:pPr>
        <w:pStyle w:val="FootnoteText"/>
        <w:rPr>
          <w:lang w:val="en-IE"/>
        </w:rPr>
      </w:pPr>
      <w:r>
        <w:rPr>
          <w:rStyle w:val="FootnoteReference"/>
        </w:rPr>
        <w:footnoteRef/>
      </w:r>
      <w:r>
        <w:t xml:space="preserve"> </w:t>
      </w:r>
      <w:r>
        <w:rPr>
          <w:lang w:val="en-IE"/>
        </w:rPr>
        <w:tab/>
        <w:t xml:space="preserve">Follow-up meeting Luxembourg, 2026; </w:t>
      </w:r>
      <w:r w:rsidRPr="006F5192">
        <w:t>Luxembourg Government (2026c)</w:t>
      </w:r>
      <w:r>
        <w:t>, additional written input, p. 10.</w:t>
      </w:r>
    </w:p>
  </w:footnote>
  <w:footnote w:id="13">
    <w:p w14:paraId="57F43C5C" w14:textId="7BFF6CC3" w:rsidR="00E53886" w:rsidRPr="00303CA9" w:rsidRDefault="00E53886" w:rsidP="00497277">
      <w:pPr>
        <w:pStyle w:val="FootnoteText"/>
      </w:pPr>
      <w:r>
        <w:rPr>
          <w:rStyle w:val="FootnoteReference"/>
        </w:rPr>
        <w:footnoteRef/>
      </w:r>
      <w:r>
        <w:t xml:space="preserve"> </w:t>
      </w:r>
      <w:r>
        <w:tab/>
        <w:t>Luxembourg Government (2026b), additional written input, pp</w:t>
      </w:r>
      <w:r w:rsidR="00190D2A">
        <w:t>.</w:t>
      </w:r>
      <w:r>
        <w:t xml:space="preserve"> 1-2.</w:t>
      </w:r>
    </w:p>
  </w:footnote>
  <w:footnote w:id="14">
    <w:p w14:paraId="4FBC8151" w14:textId="77777777" w:rsidR="00E53886" w:rsidRPr="00AE581F" w:rsidRDefault="00E53886" w:rsidP="00497277">
      <w:pPr>
        <w:pStyle w:val="FootnoteText"/>
        <w:rPr>
          <w:lang w:val="en-IE"/>
        </w:rPr>
      </w:pPr>
      <w:r>
        <w:rPr>
          <w:rStyle w:val="FootnoteReference"/>
        </w:rPr>
        <w:footnoteRef/>
      </w:r>
      <w:r>
        <w:t xml:space="preserve"> </w:t>
      </w:r>
      <w:r>
        <w:rPr>
          <w:lang w:val="en-IE"/>
        </w:rPr>
        <w:tab/>
        <w:t>Country visit Luxembourg, Ministry of Justice; follow-up meeting Luxembourg, 2026.</w:t>
      </w:r>
    </w:p>
  </w:footnote>
  <w:footnote w:id="15">
    <w:p w14:paraId="0DB9EFD9" w14:textId="77777777" w:rsidR="00E53886" w:rsidRPr="00890C2C" w:rsidRDefault="00E53886" w:rsidP="00497277">
      <w:pPr>
        <w:pStyle w:val="FootnoteText"/>
      </w:pPr>
      <w:r>
        <w:rPr>
          <w:rStyle w:val="FootnoteReference"/>
        </w:rPr>
        <w:footnoteRef/>
      </w:r>
      <w:r w:rsidRPr="00890C2C">
        <w:t xml:space="preserve"> </w:t>
      </w:r>
      <w:r w:rsidRPr="00890C2C">
        <w:tab/>
        <w:t xml:space="preserve">Luxembourg Government (2026b), </w:t>
      </w:r>
      <w:r>
        <w:t xml:space="preserve">additional written input, </w:t>
      </w:r>
      <w:r w:rsidRPr="00890C2C">
        <w:t>pp. 1-2.</w:t>
      </w:r>
    </w:p>
  </w:footnote>
  <w:footnote w:id="16">
    <w:p w14:paraId="31330F21" w14:textId="77777777" w:rsidR="00E53886" w:rsidRPr="001A135D" w:rsidRDefault="00E53886" w:rsidP="00497277">
      <w:pPr>
        <w:pStyle w:val="FootnoteText"/>
        <w:rPr>
          <w:lang w:val="en-IE"/>
        </w:rPr>
      </w:pPr>
      <w:r>
        <w:rPr>
          <w:rStyle w:val="FootnoteReference"/>
        </w:rPr>
        <w:footnoteRef/>
      </w:r>
      <w:r w:rsidRPr="001A135D">
        <w:rPr>
          <w:lang w:val="en-IE"/>
        </w:rPr>
        <w:t xml:space="preserve"> </w:t>
      </w:r>
      <w:r w:rsidRPr="001A135D">
        <w:rPr>
          <w:lang w:val="en-IE"/>
        </w:rPr>
        <w:tab/>
        <w:t>Country visit Luxembourg, Bar associations of Luxembourg and Diekirch.</w:t>
      </w:r>
    </w:p>
  </w:footnote>
  <w:footnote w:id="17">
    <w:p w14:paraId="0ED840C7" w14:textId="77777777" w:rsidR="00E53886" w:rsidRPr="00E17D24" w:rsidRDefault="00E53886" w:rsidP="00497277">
      <w:pPr>
        <w:pStyle w:val="FootnoteText"/>
      </w:pPr>
      <w:r>
        <w:rPr>
          <w:rStyle w:val="FootnoteReference"/>
        </w:rPr>
        <w:footnoteRef/>
      </w:r>
      <w:r>
        <w:t xml:space="preserve"> </w:t>
      </w:r>
      <w:r>
        <w:tab/>
      </w:r>
      <w:r>
        <w:rPr>
          <w:lang w:val="en-IE"/>
        </w:rPr>
        <w:t>Follow-up meeting Luxembourg, 2026.</w:t>
      </w:r>
    </w:p>
  </w:footnote>
  <w:footnote w:id="18">
    <w:p w14:paraId="1939D954" w14:textId="36ECE5A1" w:rsidR="00E53886" w:rsidRPr="00495540" w:rsidRDefault="00E53886" w:rsidP="00497277">
      <w:pPr>
        <w:pStyle w:val="FootnoteText"/>
        <w:rPr>
          <w:lang w:val="en-IE"/>
        </w:rPr>
      </w:pPr>
      <w:r>
        <w:rPr>
          <w:rStyle w:val="FootnoteReference"/>
        </w:rPr>
        <w:footnoteRef/>
      </w:r>
      <w:r>
        <w:t xml:space="preserve"> </w:t>
      </w:r>
      <w:r>
        <w:rPr>
          <w:lang w:val="en-IE"/>
        </w:rPr>
        <w:tab/>
      </w:r>
      <w:r w:rsidR="008F61B8">
        <w:rPr>
          <w:lang w:val="en-IE"/>
        </w:rPr>
        <w:t xml:space="preserve">Figures 44 and 45, </w:t>
      </w:r>
      <w:r>
        <w:rPr>
          <w:lang w:val="en-IE"/>
        </w:rPr>
        <w:t>2026 EU Justice Scoreboard.</w:t>
      </w:r>
    </w:p>
  </w:footnote>
  <w:footnote w:id="19">
    <w:p w14:paraId="5B53267C" w14:textId="77777777" w:rsidR="00E53886" w:rsidRPr="00F73395" w:rsidRDefault="00E53886" w:rsidP="00497277">
      <w:pPr>
        <w:pStyle w:val="FootnoteText"/>
        <w:rPr>
          <w:lang w:val="en-IE"/>
        </w:rPr>
      </w:pPr>
      <w:r>
        <w:rPr>
          <w:rStyle w:val="FootnoteReference"/>
        </w:rPr>
        <w:footnoteRef/>
      </w:r>
      <w:r>
        <w:t xml:space="preserve"> </w:t>
      </w:r>
      <w:r>
        <w:rPr>
          <w:lang w:val="en-IE"/>
        </w:rPr>
        <w:tab/>
      </w:r>
      <w:r w:rsidRPr="00890C2C">
        <w:t xml:space="preserve">Luxembourg Government (2026b), </w:t>
      </w:r>
      <w:r>
        <w:t xml:space="preserve">additional written input, </w:t>
      </w:r>
      <w:r w:rsidRPr="00890C2C">
        <w:t xml:space="preserve">p. </w:t>
      </w:r>
      <w:r>
        <w:t>3</w:t>
      </w:r>
      <w:r w:rsidRPr="00890C2C">
        <w:t>.</w:t>
      </w:r>
      <w:r>
        <w:t xml:space="preserve"> User base of 1 100 users.</w:t>
      </w:r>
    </w:p>
  </w:footnote>
  <w:footnote w:id="20">
    <w:p w14:paraId="1FF83B04" w14:textId="77777777" w:rsidR="00E53886" w:rsidRPr="00494D1C" w:rsidRDefault="00E53886" w:rsidP="00497277">
      <w:pPr>
        <w:pStyle w:val="FootnoteText"/>
        <w:rPr>
          <w:lang w:val="en-IE"/>
        </w:rPr>
      </w:pPr>
      <w:r>
        <w:rPr>
          <w:rStyle w:val="FootnoteReference"/>
        </w:rPr>
        <w:footnoteRef/>
      </w:r>
      <w:r>
        <w:t xml:space="preserve"> </w:t>
      </w:r>
      <w:r>
        <w:tab/>
      </w:r>
      <w:r>
        <w:rPr>
          <w:lang w:val="en-IE"/>
        </w:rPr>
        <w:t>2025 Country Report, pp. 4-5.</w:t>
      </w:r>
    </w:p>
  </w:footnote>
  <w:footnote w:id="21">
    <w:p w14:paraId="10FCC55F" w14:textId="77777777" w:rsidR="00E53886" w:rsidRPr="00483F95" w:rsidRDefault="00E53886" w:rsidP="00497277">
      <w:pPr>
        <w:pStyle w:val="FootnoteText"/>
        <w:rPr>
          <w:lang w:val="en-IE"/>
        </w:rPr>
      </w:pPr>
      <w:r>
        <w:rPr>
          <w:rStyle w:val="FootnoteReference"/>
        </w:rPr>
        <w:footnoteRef/>
      </w:r>
      <w:r>
        <w:t xml:space="preserve"> </w:t>
      </w:r>
      <w:r>
        <w:tab/>
      </w:r>
      <w:r>
        <w:rPr>
          <w:lang w:val="en-IE"/>
        </w:rPr>
        <w:t>D</w:t>
      </w:r>
      <w:r w:rsidRPr="00E732F2">
        <w:rPr>
          <w:lang w:val="en-IE"/>
        </w:rPr>
        <w:t>raft laws 7991, 7992 and 7994</w:t>
      </w:r>
      <w:r w:rsidRPr="00483F95">
        <w:rPr>
          <w:bCs/>
          <w:lang w:eastAsia="fr-FR"/>
        </w:rPr>
        <w:t xml:space="preserve"> aim to</w:t>
      </w:r>
      <w:r>
        <w:rPr>
          <w:bCs/>
          <w:lang w:eastAsia="fr-FR"/>
        </w:rPr>
        <w:t>, respectively,</w:t>
      </w:r>
      <w:r w:rsidRPr="00483F95">
        <w:rPr>
          <w:bCs/>
          <w:lang w:eastAsia="fr-FR"/>
        </w:rPr>
        <w:t xml:space="preserve"> reform the criminal system for minors, enhance the protection of minor victims and witnesses in criminal proceedings and create a new comprehensive system of protection for youth and children</w:t>
      </w:r>
      <w:r w:rsidRPr="00E732F2">
        <w:rPr>
          <w:lang w:val="en-IE"/>
        </w:rPr>
        <w:t>;</w:t>
      </w:r>
      <w:r>
        <w:rPr>
          <w:lang w:val="en-IE"/>
        </w:rPr>
        <w:t xml:space="preserve"> </w:t>
      </w:r>
      <w:r w:rsidRPr="00216E6A">
        <w:rPr>
          <w:lang w:val="en-IE"/>
        </w:rPr>
        <w:t>Chamber of Deputies (2022a</w:t>
      </w:r>
      <w:r>
        <w:rPr>
          <w:lang w:val="en-IE"/>
        </w:rPr>
        <w:t>, 2022b and 2022c</w:t>
      </w:r>
      <w:r w:rsidRPr="00216E6A">
        <w:rPr>
          <w:lang w:val="en-IE"/>
        </w:rPr>
        <w:t>)</w:t>
      </w:r>
      <w:r>
        <w:rPr>
          <w:lang w:val="en-IE"/>
        </w:rPr>
        <w:t xml:space="preserve">; Luxembourg Government (2026a), </w:t>
      </w:r>
      <w:r>
        <w:t xml:space="preserve">written input, </w:t>
      </w:r>
      <w:r>
        <w:rPr>
          <w:lang w:val="en-IE"/>
        </w:rPr>
        <w:t>p. 4; country visit Luxembourg, Council of State.</w:t>
      </w:r>
    </w:p>
  </w:footnote>
  <w:footnote w:id="22">
    <w:p w14:paraId="4C2C9AD6" w14:textId="77777777" w:rsidR="00E53886" w:rsidRPr="00BB7BD2" w:rsidRDefault="00E53886" w:rsidP="00497277">
      <w:pPr>
        <w:pStyle w:val="FootnoteText"/>
      </w:pPr>
      <w:r>
        <w:rPr>
          <w:rStyle w:val="FootnoteReference"/>
        </w:rPr>
        <w:footnoteRef/>
      </w:r>
      <w:r>
        <w:t xml:space="preserve"> </w:t>
      </w:r>
      <w:r>
        <w:tab/>
      </w:r>
      <w:r>
        <w:rPr>
          <w:lang w:val="en-IE"/>
        </w:rPr>
        <w:t>Ombudsman for Children and Youth (2026b), pp. 2-4. See also 2025 Rule of Law Report, p. 5.</w:t>
      </w:r>
    </w:p>
  </w:footnote>
  <w:footnote w:id="23">
    <w:p w14:paraId="663CEEF6" w14:textId="77777777" w:rsidR="00E53886" w:rsidRPr="007378D0" w:rsidRDefault="00E53886" w:rsidP="00497277">
      <w:pPr>
        <w:pStyle w:val="FootnoteText"/>
        <w:rPr>
          <w:lang w:val="en-IE"/>
        </w:rPr>
      </w:pPr>
      <w:r>
        <w:rPr>
          <w:rStyle w:val="FootnoteReference"/>
        </w:rPr>
        <w:footnoteRef/>
      </w:r>
      <w:r>
        <w:t xml:space="preserve"> </w:t>
      </w:r>
      <w:r>
        <w:rPr>
          <w:lang w:val="en-IE"/>
        </w:rPr>
        <w:tab/>
        <w:t xml:space="preserve">Country visit Luxembourg, Bar Associations of Luxembourg and Diekirch. These specialists </w:t>
      </w:r>
      <w:r w:rsidRPr="001350EA">
        <w:rPr>
          <w:lang w:val="en-IE"/>
        </w:rPr>
        <w:t>need to undergo one-day training programme</w:t>
      </w:r>
      <w:r>
        <w:rPr>
          <w:lang w:val="en-IE"/>
        </w:rPr>
        <w:t>.</w:t>
      </w:r>
    </w:p>
  </w:footnote>
  <w:footnote w:id="24">
    <w:p w14:paraId="4AA850CC" w14:textId="77777777" w:rsidR="00E53886" w:rsidRPr="00C67E17" w:rsidRDefault="00E53886" w:rsidP="00497277">
      <w:pPr>
        <w:pStyle w:val="FootnoteText"/>
        <w:rPr>
          <w:lang w:val="en-IE"/>
        </w:rPr>
      </w:pPr>
      <w:r>
        <w:rPr>
          <w:rStyle w:val="FootnoteReference"/>
        </w:rPr>
        <w:footnoteRef/>
      </w:r>
      <w:r>
        <w:t xml:space="preserve"> </w:t>
      </w:r>
      <w:r>
        <w:rPr>
          <w:lang w:val="en-IE"/>
        </w:rPr>
        <w:tab/>
        <w:t>Draft law</w:t>
      </w:r>
      <w:r w:rsidRPr="00F0314E">
        <w:rPr>
          <w:lang w:val="en-IE"/>
        </w:rPr>
        <w:t xml:space="preserve"> 8433 </w:t>
      </w:r>
      <w:r>
        <w:rPr>
          <w:lang w:val="en-IE"/>
        </w:rPr>
        <w:t xml:space="preserve">was split </w:t>
      </w:r>
      <w:r w:rsidRPr="00F0314E">
        <w:rPr>
          <w:lang w:val="en-IE"/>
        </w:rPr>
        <w:t xml:space="preserve">into two separate </w:t>
      </w:r>
      <w:r>
        <w:rPr>
          <w:lang w:val="en-IE"/>
        </w:rPr>
        <w:t>draft laws</w:t>
      </w:r>
      <w:r w:rsidRPr="00F0314E">
        <w:rPr>
          <w:lang w:val="en-IE"/>
        </w:rPr>
        <w:t>: 8433A, which modifies the qualifications and professional experience requirements for attachés de justice, and 8433B, which revises recruitment, professional training, and provisional service for attachés de justice.</w:t>
      </w:r>
      <w:r>
        <w:rPr>
          <w:lang w:val="en-IE"/>
        </w:rPr>
        <w:t xml:space="preserve"> Draft law 8433A was enacted as the law of 2 April 2025. Draft law 8433B is under discussion in Parliament. </w:t>
      </w:r>
      <w:r w:rsidRPr="00C67E17">
        <w:rPr>
          <w:lang w:val="en-IE"/>
        </w:rPr>
        <w:t>Chamber of Deputies (2025a)</w:t>
      </w:r>
      <w:r>
        <w:rPr>
          <w:lang w:val="en-IE"/>
        </w:rPr>
        <w:t>.</w:t>
      </w:r>
    </w:p>
  </w:footnote>
  <w:footnote w:id="25">
    <w:p w14:paraId="36307E7F" w14:textId="77777777" w:rsidR="00E53886" w:rsidRPr="00EE1DD7" w:rsidRDefault="00E53886" w:rsidP="00497277">
      <w:pPr>
        <w:pStyle w:val="FootnoteText"/>
      </w:pPr>
      <w:r>
        <w:rPr>
          <w:rStyle w:val="FootnoteReference"/>
        </w:rPr>
        <w:footnoteRef/>
      </w:r>
      <w:r>
        <w:t xml:space="preserve"> </w:t>
      </w:r>
      <w:r>
        <w:tab/>
        <w:t xml:space="preserve">Luxembourg Government (2026a), written input, p. 5. </w:t>
      </w:r>
      <w:r w:rsidRPr="00C77ABC">
        <w:rPr>
          <w:lang w:val="en-IE"/>
        </w:rPr>
        <w:t xml:space="preserve">Country visit Luxembourg, </w:t>
      </w:r>
      <w:r>
        <w:rPr>
          <w:lang w:val="en-IE"/>
        </w:rPr>
        <w:t xml:space="preserve">President of </w:t>
      </w:r>
      <w:r w:rsidRPr="00594A10">
        <w:rPr>
          <w:lang w:val="en-IE"/>
        </w:rPr>
        <w:t>Supreme Court of Justice</w:t>
      </w:r>
      <w:r>
        <w:rPr>
          <w:lang w:val="en-IE"/>
        </w:rPr>
        <w:t xml:space="preserve"> and Constitutional Court.</w:t>
      </w:r>
    </w:p>
  </w:footnote>
  <w:footnote w:id="26">
    <w:p w14:paraId="7D71A68C" w14:textId="77777777" w:rsidR="00E53886" w:rsidRPr="00A620D1" w:rsidRDefault="00E53886" w:rsidP="00497277">
      <w:pPr>
        <w:pStyle w:val="FootnoteText"/>
      </w:pPr>
      <w:r>
        <w:rPr>
          <w:rStyle w:val="FootnoteReference"/>
        </w:rPr>
        <w:footnoteRef/>
      </w:r>
      <w:r>
        <w:t xml:space="preserve"> </w:t>
      </w:r>
      <w:r>
        <w:tab/>
      </w:r>
      <w:r w:rsidRPr="00C77ABC">
        <w:rPr>
          <w:lang w:val="en-IE"/>
        </w:rPr>
        <w:t xml:space="preserve">Country visit Luxembourg, </w:t>
      </w:r>
      <w:r>
        <w:rPr>
          <w:lang w:val="en-IE"/>
        </w:rPr>
        <w:t>Prosecution Service.</w:t>
      </w:r>
    </w:p>
  </w:footnote>
  <w:footnote w:id="27">
    <w:p w14:paraId="0C0F55F4" w14:textId="77777777" w:rsidR="00E53886" w:rsidRPr="00D84403" w:rsidRDefault="00E53886" w:rsidP="00497277">
      <w:pPr>
        <w:pStyle w:val="FootnoteText"/>
      </w:pPr>
      <w:r>
        <w:rPr>
          <w:rStyle w:val="FootnoteReference"/>
        </w:rPr>
        <w:footnoteRef/>
      </w:r>
      <w:r>
        <w:t xml:space="preserve"> </w:t>
      </w:r>
      <w:r>
        <w:tab/>
      </w:r>
      <w:r>
        <w:rPr>
          <w:lang w:val="en-IE"/>
        </w:rPr>
        <w:t xml:space="preserve">50 out of 51 vacant positions in the civil jurisdiction are in the Court of Appeal. </w:t>
      </w:r>
      <w:r w:rsidRPr="00C77ABC">
        <w:rPr>
          <w:lang w:val="en-IE"/>
        </w:rPr>
        <w:t xml:space="preserve">Country visit Luxembourg, </w:t>
      </w:r>
      <w:r>
        <w:rPr>
          <w:lang w:val="en-IE"/>
        </w:rPr>
        <w:t>Ministry</w:t>
      </w:r>
      <w:r w:rsidRPr="00C77ABC">
        <w:rPr>
          <w:lang w:val="en-IE"/>
        </w:rPr>
        <w:t xml:space="preserve"> o</w:t>
      </w:r>
      <w:r>
        <w:rPr>
          <w:lang w:val="en-IE"/>
        </w:rPr>
        <w:t xml:space="preserve">f State, </w:t>
      </w:r>
      <w:r w:rsidRPr="004B4818">
        <w:rPr>
          <w:lang w:val="en-IE"/>
        </w:rPr>
        <w:t>Luxembourgish Magistrates’ Association</w:t>
      </w:r>
      <w:r>
        <w:rPr>
          <w:lang w:val="en-IE"/>
        </w:rPr>
        <w:t xml:space="preserve">, National Council of Justice, President of </w:t>
      </w:r>
      <w:r w:rsidRPr="00594A10">
        <w:rPr>
          <w:lang w:val="en-IE"/>
        </w:rPr>
        <w:t>Supreme Court of Justice</w:t>
      </w:r>
      <w:r>
        <w:rPr>
          <w:lang w:val="en-IE"/>
        </w:rPr>
        <w:t xml:space="preserve"> and Constitutional Court,</w:t>
      </w:r>
      <w:r w:rsidRPr="006513D1">
        <w:rPr>
          <w:lang w:val="en-IE"/>
        </w:rPr>
        <w:t xml:space="preserve"> </w:t>
      </w:r>
      <w:r>
        <w:rPr>
          <w:lang w:val="en-IE"/>
        </w:rPr>
        <w:t>Council of State. See also 2025 Rule of Law Report, p. 5.</w:t>
      </w:r>
    </w:p>
  </w:footnote>
  <w:footnote w:id="28">
    <w:p w14:paraId="43612651" w14:textId="77777777" w:rsidR="00E53886" w:rsidRPr="005B2A3E" w:rsidRDefault="00E53886" w:rsidP="00497277">
      <w:pPr>
        <w:pStyle w:val="FootnoteText"/>
      </w:pPr>
      <w:r>
        <w:rPr>
          <w:rStyle w:val="FootnoteReference"/>
        </w:rPr>
        <w:footnoteRef/>
      </w:r>
      <w:r>
        <w:t xml:space="preserve"> </w:t>
      </w:r>
      <w:r>
        <w:tab/>
      </w:r>
      <w:r w:rsidRPr="00C77ABC">
        <w:rPr>
          <w:lang w:val="en-IE"/>
        </w:rPr>
        <w:t xml:space="preserve">Country visit Luxembourg, </w:t>
      </w:r>
      <w:r w:rsidRPr="004B4818">
        <w:rPr>
          <w:lang w:val="en-IE"/>
        </w:rPr>
        <w:t>Luxembourgish Magistrates’ Association</w:t>
      </w:r>
      <w:r>
        <w:rPr>
          <w:lang w:val="en-IE"/>
        </w:rPr>
        <w:t>.</w:t>
      </w:r>
    </w:p>
  </w:footnote>
  <w:footnote w:id="29">
    <w:p w14:paraId="0107BF81" w14:textId="77777777" w:rsidR="00E53886" w:rsidRPr="00DD5A6B" w:rsidRDefault="00E53886" w:rsidP="00497277">
      <w:pPr>
        <w:pStyle w:val="FootnoteText"/>
      </w:pPr>
      <w:r>
        <w:rPr>
          <w:rStyle w:val="FootnoteReference"/>
        </w:rPr>
        <w:footnoteRef/>
      </w:r>
      <w:r>
        <w:t xml:space="preserve"> </w:t>
      </w:r>
      <w:r>
        <w:tab/>
      </w:r>
      <w:r w:rsidRPr="00C77ABC">
        <w:rPr>
          <w:lang w:val="en-IE"/>
        </w:rPr>
        <w:t xml:space="preserve">Country visit Luxembourg, </w:t>
      </w:r>
      <w:r>
        <w:rPr>
          <w:lang w:val="en-IE"/>
        </w:rPr>
        <w:t>Ministry</w:t>
      </w:r>
      <w:r w:rsidRPr="00C77ABC">
        <w:rPr>
          <w:lang w:val="en-IE"/>
        </w:rPr>
        <w:t xml:space="preserve"> o</w:t>
      </w:r>
      <w:r>
        <w:rPr>
          <w:lang w:val="en-IE"/>
        </w:rPr>
        <w:t>f Justice.</w:t>
      </w:r>
    </w:p>
  </w:footnote>
  <w:footnote w:id="30">
    <w:p w14:paraId="214A75AE" w14:textId="61501146" w:rsidR="00E53886" w:rsidRPr="00A45A89" w:rsidRDefault="00E53886" w:rsidP="00497277">
      <w:pPr>
        <w:pStyle w:val="FootnoteText"/>
      </w:pPr>
      <w:r>
        <w:rPr>
          <w:rStyle w:val="FootnoteReference"/>
        </w:rPr>
        <w:footnoteRef/>
      </w:r>
      <w:r>
        <w:t xml:space="preserve"> </w:t>
      </w:r>
      <w:r>
        <w:tab/>
      </w:r>
      <w:r w:rsidRPr="00C77ABC">
        <w:rPr>
          <w:lang w:val="en-IE"/>
        </w:rPr>
        <w:t xml:space="preserve">Country visit Luxembourg, </w:t>
      </w:r>
      <w:r>
        <w:rPr>
          <w:lang w:val="en-IE"/>
        </w:rPr>
        <w:t xml:space="preserve">Council of State. See also </w:t>
      </w:r>
      <w:r>
        <w:t>Council of State (2025</w:t>
      </w:r>
      <w:r w:rsidR="00205C0F">
        <w:t>a</w:t>
      </w:r>
      <w:r>
        <w:t>), p. 4.</w:t>
      </w:r>
    </w:p>
  </w:footnote>
  <w:footnote w:id="31">
    <w:p w14:paraId="4091686F" w14:textId="77777777" w:rsidR="00E53886" w:rsidRPr="00512E39" w:rsidRDefault="00E53886" w:rsidP="00497277">
      <w:pPr>
        <w:pStyle w:val="FootnoteText"/>
      </w:pPr>
      <w:r>
        <w:rPr>
          <w:rStyle w:val="FootnoteReference"/>
        </w:rPr>
        <w:footnoteRef/>
      </w:r>
      <w:r>
        <w:t xml:space="preserve"> </w:t>
      </w:r>
      <w:r>
        <w:tab/>
      </w:r>
      <w:r w:rsidRPr="00C77ABC">
        <w:rPr>
          <w:lang w:val="en-IE"/>
        </w:rPr>
        <w:t xml:space="preserve">Country visit Luxembourg, </w:t>
      </w:r>
      <w:r>
        <w:rPr>
          <w:lang w:val="en-IE"/>
        </w:rPr>
        <w:t xml:space="preserve">Ministry of Justice, </w:t>
      </w:r>
      <w:r w:rsidRPr="004B4818">
        <w:rPr>
          <w:lang w:val="en-IE"/>
        </w:rPr>
        <w:t>Luxembourgish Magistrates’ Association</w:t>
      </w:r>
      <w:r>
        <w:rPr>
          <w:lang w:val="en-IE"/>
        </w:rPr>
        <w:t xml:space="preserve">, </w:t>
      </w:r>
      <w:r w:rsidRPr="00594A10">
        <w:rPr>
          <w:lang w:val="en-IE"/>
        </w:rPr>
        <w:t>Supreme Court of Justice</w:t>
      </w:r>
      <w:r>
        <w:rPr>
          <w:lang w:val="en-IE"/>
        </w:rPr>
        <w:t>, Constitutional Court, Administrative Court</w:t>
      </w:r>
    </w:p>
  </w:footnote>
  <w:footnote w:id="32">
    <w:p w14:paraId="25602F99" w14:textId="04121B49" w:rsidR="00E53886" w:rsidRPr="004503BA" w:rsidRDefault="00E53886" w:rsidP="00497277">
      <w:pPr>
        <w:pStyle w:val="FootnoteText"/>
      </w:pPr>
      <w:r>
        <w:rPr>
          <w:rStyle w:val="FootnoteReference"/>
        </w:rPr>
        <w:footnoteRef/>
      </w:r>
      <w:r>
        <w:t xml:space="preserve"> </w:t>
      </w:r>
      <w:r>
        <w:tab/>
        <w:t xml:space="preserve">Figure 3, 2026 EU Justice Scoreboard, Ministry of Justice (2026); </w:t>
      </w:r>
      <w:r w:rsidRPr="00C77ABC">
        <w:rPr>
          <w:lang w:val="en-IE"/>
        </w:rPr>
        <w:t xml:space="preserve">Country visit Luxembourg, </w:t>
      </w:r>
      <w:r>
        <w:rPr>
          <w:lang w:val="en-IE"/>
        </w:rPr>
        <w:t xml:space="preserve">Administrative Court. </w:t>
      </w:r>
      <w:r w:rsidRPr="007F133B">
        <w:rPr>
          <w:bCs/>
          <w:lang w:eastAsia="fr-FR"/>
        </w:rPr>
        <w:t>Over six in ten</w:t>
      </w:r>
      <w:r>
        <w:rPr>
          <w:bCs/>
          <w:lang w:eastAsia="fr-FR"/>
        </w:rPr>
        <w:t xml:space="preserve"> cases concern migration and asylum.</w:t>
      </w:r>
    </w:p>
  </w:footnote>
  <w:footnote w:id="33">
    <w:p w14:paraId="760EC477" w14:textId="77777777" w:rsidR="00E53886" w:rsidRPr="00A67CAB" w:rsidRDefault="00E53886" w:rsidP="00497277">
      <w:pPr>
        <w:pStyle w:val="FootnoteText"/>
      </w:pPr>
      <w:r>
        <w:rPr>
          <w:rStyle w:val="FootnoteReference"/>
        </w:rPr>
        <w:footnoteRef/>
      </w:r>
      <w:r>
        <w:t xml:space="preserve"> </w:t>
      </w:r>
      <w:r>
        <w:tab/>
      </w:r>
      <w:r>
        <w:rPr>
          <w:bCs/>
          <w:lang w:eastAsia="fr-FR"/>
        </w:rPr>
        <w:t>Draft law 8694</w:t>
      </w:r>
      <w:r w:rsidRPr="007F133B">
        <w:rPr>
          <w:bCs/>
          <w:lang w:eastAsia="fr-FR"/>
        </w:rPr>
        <w:t xml:space="preserve"> is expected to be complemented by another</w:t>
      </w:r>
      <w:r>
        <w:rPr>
          <w:bCs/>
          <w:lang w:eastAsia="fr-FR"/>
        </w:rPr>
        <w:t xml:space="preserve"> one</w:t>
      </w:r>
      <w:r w:rsidRPr="007F133B">
        <w:rPr>
          <w:bCs/>
          <w:lang w:eastAsia="fr-FR"/>
        </w:rPr>
        <w:t xml:space="preserve"> aimed at incentivising the recruitment of specialised judges for the new tribunal, although key details are yet to be defined</w:t>
      </w:r>
      <w:r>
        <w:rPr>
          <w:bCs/>
          <w:lang w:eastAsia="fr-FR"/>
        </w:rPr>
        <w:t xml:space="preserve"> - </w:t>
      </w:r>
      <w:r>
        <w:rPr>
          <w:lang w:val="en-IE"/>
        </w:rPr>
        <w:t xml:space="preserve">Administrative Court (2026a), p. 10; </w:t>
      </w:r>
      <w:r w:rsidRPr="00CC2D0F">
        <w:t>Chamber of Deputies (2026c)</w:t>
      </w:r>
      <w:r>
        <w:t xml:space="preserve">; </w:t>
      </w:r>
      <w:r>
        <w:rPr>
          <w:lang w:val="en-IE"/>
        </w:rPr>
        <w:t>c</w:t>
      </w:r>
      <w:r w:rsidRPr="00C77ABC">
        <w:rPr>
          <w:lang w:val="en-IE"/>
        </w:rPr>
        <w:t xml:space="preserve">ountry visit Luxembourg, </w:t>
      </w:r>
      <w:r w:rsidRPr="004B4818">
        <w:rPr>
          <w:lang w:val="en-IE"/>
        </w:rPr>
        <w:t>Luxembourgish Magistrates’ Association</w:t>
      </w:r>
      <w:r>
        <w:rPr>
          <w:lang w:val="en-IE"/>
        </w:rPr>
        <w:t>.</w:t>
      </w:r>
    </w:p>
  </w:footnote>
  <w:footnote w:id="34">
    <w:p w14:paraId="2F93F8CD" w14:textId="77777777" w:rsidR="00E53886" w:rsidRPr="00CF39A8" w:rsidRDefault="00E53886" w:rsidP="00497277">
      <w:pPr>
        <w:pStyle w:val="FootnoteText"/>
        <w:rPr>
          <w:lang w:val="en-IE"/>
        </w:rPr>
      </w:pPr>
      <w:r>
        <w:rPr>
          <w:rStyle w:val="FootnoteReference"/>
        </w:rPr>
        <w:footnoteRef/>
      </w:r>
      <w:r>
        <w:t xml:space="preserve"> </w:t>
      </w:r>
      <w:r>
        <w:rPr>
          <w:lang w:val="en-IE"/>
        </w:rPr>
        <w:tab/>
        <w:t>Ministry of Justice (2026), Ombudsman for Children and Youth (2026a), p. 11; country visit Luxembourg, Luxembourgish Magistrates’ Association, CCDH, Ombudsman.</w:t>
      </w:r>
    </w:p>
  </w:footnote>
  <w:footnote w:id="35">
    <w:p w14:paraId="5ABC95C8" w14:textId="71B6945F" w:rsidR="00E53886" w:rsidRPr="00DD26B8" w:rsidRDefault="00E53886" w:rsidP="00497277">
      <w:pPr>
        <w:pStyle w:val="FootnoteText"/>
        <w:rPr>
          <w:lang w:val="en-IE"/>
        </w:rPr>
      </w:pPr>
      <w:r>
        <w:rPr>
          <w:rStyle w:val="FootnoteReference"/>
        </w:rPr>
        <w:footnoteRef/>
      </w:r>
      <w:r>
        <w:t xml:space="preserve"> </w:t>
      </w:r>
      <w:r>
        <w:tab/>
        <w:t>National Council for Justice (2026</w:t>
      </w:r>
      <w:r w:rsidR="004D408B">
        <w:t>b</w:t>
      </w:r>
      <w:r>
        <w:t xml:space="preserve">), p. 2; Administrative Court (2026b), p. 6; </w:t>
      </w:r>
      <w:r>
        <w:rPr>
          <w:lang w:val="en-IE"/>
        </w:rPr>
        <w:t>c</w:t>
      </w:r>
      <w:r w:rsidRPr="00C77ABC">
        <w:rPr>
          <w:lang w:val="en-IE"/>
        </w:rPr>
        <w:t xml:space="preserve">ountry visit Luxembourg, </w:t>
      </w:r>
      <w:r w:rsidRPr="004B4818">
        <w:rPr>
          <w:lang w:val="en-IE"/>
        </w:rPr>
        <w:t>Luxembourgish Magistrates’ Association</w:t>
      </w:r>
      <w:r>
        <w:rPr>
          <w:lang w:val="en-IE"/>
        </w:rPr>
        <w:t xml:space="preserve">, </w:t>
      </w:r>
      <w:r w:rsidRPr="00C32F08">
        <w:rPr>
          <w:lang w:val="en-IE"/>
        </w:rPr>
        <w:t>Council of State (2026)</w:t>
      </w:r>
      <w:r>
        <w:rPr>
          <w:lang w:val="en-IE"/>
        </w:rPr>
        <w:t>, pp. 4-5.</w:t>
      </w:r>
    </w:p>
  </w:footnote>
  <w:footnote w:id="36">
    <w:p w14:paraId="0FCAF42C" w14:textId="0EAA015E" w:rsidR="00E53886" w:rsidRPr="00916A0C" w:rsidRDefault="00E53886" w:rsidP="00497277">
      <w:pPr>
        <w:pStyle w:val="FootnoteText"/>
        <w:rPr>
          <w:lang w:val="fr-FR"/>
        </w:rPr>
      </w:pPr>
      <w:r>
        <w:rPr>
          <w:rStyle w:val="FootnoteReference"/>
        </w:rPr>
        <w:footnoteRef/>
      </w:r>
      <w:r w:rsidRPr="00916A0C">
        <w:rPr>
          <w:lang w:val="fr-FR"/>
        </w:rPr>
        <w:t xml:space="preserve"> </w:t>
      </w:r>
      <w:r w:rsidRPr="00916A0C">
        <w:rPr>
          <w:lang w:val="fr-FR"/>
        </w:rPr>
        <w:tab/>
      </w:r>
      <w:r w:rsidR="008F61B8" w:rsidRPr="00916A0C">
        <w:rPr>
          <w:lang w:val="fr-FR"/>
        </w:rPr>
        <w:t xml:space="preserve">Figures 4-6, </w:t>
      </w:r>
      <w:r w:rsidR="00D66D84" w:rsidRPr="00916A0C">
        <w:rPr>
          <w:lang w:val="fr-FR"/>
        </w:rPr>
        <w:t xml:space="preserve">2026 </w:t>
      </w:r>
      <w:r w:rsidRPr="00916A0C">
        <w:rPr>
          <w:lang w:val="fr-FR"/>
        </w:rPr>
        <w:t>EU Justice Scoreboard.</w:t>
      </w:r>
    </w:p>
  </w:footnote>
  <w:footnote w:id="37">
    <w:p w14:paraId="7805FFA4" w14:textId="7359FEEF" w:rsidR="00E53886" w:rsidRPr="00916A0C" w:rsidRDefault="00E53886" w:rsidP="00497277">
      <w:pPr>
        <w:pStyle w:val="FootnoteText"/>
        <w:rPr>
          <w:lang w:val="fr-FR"/>
        </w:rPr>
      </w:pPr>
      <w:r>
        <w:rPr>
          <w:rStyle w:val="FootnoteReference"/>
        </w:rPr>
        <w:footnoteRef/>
      </w:r>
      <w:r w:rsidRPr="00916A0C">
        <w:rPr>
          <w:lang w:val="fr-FR"/>
        </w:rPr>
        <w:t xml:space="preserve"> </w:t>
      </w:r>
      <w:r w:rsidRPr="00916A0C">
        <w:rPr>
          <w:lang w:val="fr-FR"/>
        </w:rPr>
        <w:tab/>
      </w:r>
      <w:r w:rsidR="008F61B8" w:rsidRPr="00916A0C">
        <w:rPr>
          <w:lang w:val="fr-FR"/>
        </w:rPr>
        <w:t xml:space="preserve">Figure 7, </w:t>
      </w:r>
      <w:r w:rsidR="00D66D84" w:rsidRPr="00916A0C">
        <w:rPr>
          <w:lang w:val="fr-FR"/>
        </w:rPr>
        <w:t xml:space="preserve">2026 </w:t>
      </w:r>
      <w:r w:rsidRPr="00916A0C">
        <w:rPr>
          <w:lang w:val="fr-FR"/>
        </w:rPr>
        <w:t xml:space="preserve">EU Justice Scoreboard. </w:t>
      </w:r>
    </w:p>
  </w:footnote>
  <w:footnote w:id="38">
    <w:p w14:paraId="192D379B" w14:textId="4170280E" w:rsidR="00E53886" w:rsidRPr="009C3DD0" w:rsidRDefault="00E53886" w:rsidP="00385C31">
      <w:pPr>
        <w:pStyle w:val="FootnoteText"/>
      </w:pPr>
      <w:r w:rsidRPr="009C3DD0">
        <w:rPr>
          <w:rStyle w:val="Footnote1"/>
          <w:vertAlign w:val="superscript"/>
        </w:rPr>
        <w:footnoteRef/>
      </w:r>
      <w:r w:rsidRPr="009C3DD0">
        <w:rPr>
          <w:rStyle w:val="Footnote1"/>
        </w:rPr>
        <w:t xml:space="preserve"> </w:t>
      </w:r>
      <w:r w:rsidRPr="009C3DD0">
        <w:rPr>
          <w:rStyle w:val="Footnote1"/>
        </w:rPr>
        <w:tab/>
      </w:r>
      <w:r w:rsidR="008F61B8">
        <w:rPr>
          <w:rStyle w:val="Footnote1"/>
        </w:rPr>
        <w:t xml:space="preserve">Figures 9 and 11, </w:t>
      </w:r>
      <w:r w:rsidR="00D66D84">
        <w:rPr>
          <w:rStyle w:val="Footnote1"/>
        </w:rPr>
        <w:t xml:space="preserve">2026 </w:t>
      </w:r>
      <w:r w:rsidRPr="009C3DD0">
        <w:rPr>
          <w:rStyle w:val="Footnote1"/>
        </w:rPr>
        <w:t>EU Justice Scoreboard.</w:t>
      </w:r>
    </w:p>
  </w:footnote>
  <w:footnote w:id="39">
    <w:p w14:paraId="76BB070D" w14:textId="782009C2" w:rsidR="00E53886" w:rsidRPr="003111CB" w:rsidRDefault="00E53886" w:rsidP="00385C31">
      <w:pPr>
        <w:pStyle w:val="FootnoteText"/>
      </w:pPr>
      <w:r w:rsidRPr="003111CB">
        <w:rPr>
          <w:rStyle w:val="Footnote1"/>
          <w:vertAlign w:val="superscript"/>
        </w:rPr>
        <w:footnoteRef/>
      </w:r>
      <w:r w:rsidRPr="003111CB">
        <w:rPr>
          <w:rStyle w:val="Footnote1"/>
        </w:rPr>
        <w:t xml:space="preserve"> </w:t>
      </w:r>
      <w:r w:rsidRPr="003111CB">
        <w:rPr>
          <w:rStyle w:val="Footnote1"/>
        </w:rPr>
        <w:tab/>
      </w:r>
      <w:r w:rsidR="008F61B8">
        <w:rPr>
          <w:rStyle w:val="Footnote1"/>
        </w:rPr>
        <w:t xml:space="preserve">Figures 12-14, </w:t>
      </w:r>
      <w:r w:rsidR="00D66D84">
        <w:rPr>
          <w:rStyle w:val="Footnote1"/>
        </w:rPr>
        <w:t xml:space="preserve">2026 </w:t>
      </w:r>
      <w:r w:rsidRPr="003111CB">
        <w:rPr>
          <w:rStyle w:val="Footnote1"/>
        </w:rPr>
        <w:t>EU Justice Scoreboard.</w:t>
      </w:r>
    </w:p>
  </w:footnote>
  <w:footnote w:id="40">
    <w:p w14:paraId="000A8473" w14:textId="77777777" w:rsidR="00E53886" w:rsidRPr="00D007DA" w:rsidRDefault="00E53886" w:rsidP="00385C31">
      <w:pPr>
        <w:pStyle w:val="FootnoteText"/>
      </w:pPr>
      <w:r w:rsidRPr="003111CB">
        <w:rPr>
          <w:rStyle w:val="Footnote1"/>
          <w:vertAlign w:val="superscript"/>
          <w:lang w:val="bg-BG" w:eastAsia="bg-BG" w:bidi="bg-BG"/>
        </w:rPr>
        <w:footnoteRef/>
      </w:r>
      <w:r w:rsidRPr="00D007DA">
        <w:rPr>
          <w:rStyle w:val="Footnote1"/>
        </w:rPr>
        <w:t xml:space="preserve"> </w:t>
      </w:r>
      <w:r w:rsidRPr="00D007DA">
        <w:rPr>
          <w:rStyle w:val="Footnote1"/>
        </w:rPr>
        <w:tab/>
        <w:t xml:space="preserve">The level of perceived corruption is categorised as follows: low (above </w:t>
      </w:r>
      <w:r w:rsidRPr="00D007DA">
        <w:rPr>
          <w:rStyle w:val="Footnote1"/>
          <w:lang w:val="bg-BG" w:eastAsia="bg-BG" w:bidi="bg-BG"/>
        </w:rPr>
        <w:t xml:space="preserve">79); </w:t>
      </w:r>
      <w:r w:rsidRPr="00D007DA">
        <w:rPr>
          <w:rStyle w:val="Footnote1"/>
        </w:rPr>
        <w:t xml:space="preserve">relatively low (between </w:t>
      </w:r>
      <w:r w:rsidRPr="00D007DA">
        <w:rPr>
          <w:rStyle w:val="Footnote1"/>
          <w:lang w:val="bg-BG" w:eastAsia="bg-BG" w:bidi="bg-BG"/>
        </w:rPr>
        <w:t xml:space="preserve">79-60), </w:t>
      </w:r>
      <w:r w:rsidRPr="00D007DA">
        <w:rPr>
          <w:rStyle w:val="Footnote1"/>
        </w:rPr>
        <w:t xml:space="preserve">relatively high (between </w:t>
      </w:r>
      <w:r w:rsidRPr="00D007DA">
        <w:rPr>
          <w:rStyle w:val="Footnote1"/>
          <w:lang w:val="bg-BG" w:eastAsia="bg-BG" w:bidi="bg-BG"/>
        </w:rPr>
        <w:t xml:space="preserve">59-50), </w:t>
      </w:r>
      <w:r w:rsidRPr="00D007DA">
        <w:rPr>
          <w:rStyle w:val="Footnote1"/>
        </w:rPr>
        <w:t xml:space="preserve">high (below </w:t>
      </w:r>
      <w:r w:rsidRPr="00D007DA">
        <w:rPr>
          <w:rStyle w:val="Footnote1"/>
          <w:lang w:val="bg-BG" w:eastAsia="bg-BG" w:bidi="bg-BG"/>
        </w:rPr>
        <w:t>50).</w:t>
      </w:r>
    </w:p>
  </w:footnote>
  <w:footnote w:id="41">
    <w:p w14:paraId="2E87D3AB" w14:textId="77777777" w:rsidR="00E53886" w:rsidRPr="00AE3F9A" w:rsidRDefault="00E53886" w:rsidP="00385C31">
      <w:pPr>
        <w:pStyle w:val="FootnoteText"/>
        <w:rPr>
          <w:highlight w:val="yellow"/>
        </w:rPr>
      </w:pPr>
      <w:r w:rsidRPr="00D007DA">
        <w:rPr>
          <w:rStyle w:val="Footnote1"/>
          <w:vertAlign w:val="superscript"/>
          <w:lang w:val="bg-BG" w:eastAsia="bg-BG" w:bidi="bg-BG"/>
        </w:rPr>
        <w:footnoteRef/>
      </w:r>
      <w:r w:rsidRPr="00D007DA">
        <w:rPr>
          <w:rStyle w:val="Footnote1"/>
          <w:lang w:val="bg-BG" w:eastAsia="bg-BG" w:bidi="bg-BG"/>
        </w:rPr>
        <w:t xml:space="preserve"> </w:t>
      </w:r>
      <w:r w:rsidRPr="00D007DA">
        <w:rPr>
          <w:rStyle w:val="Footnote1"/>
          <w:lang w:val="en-IE" w:eastAsia="bg-BG" w:bidi="bg-BG"/>
        </w:rPr>
        <w:tab/>
      </w:r>
      <w:r w:rsidRPr="00D007DA">
        <w:rPr>
          <w:rStyle w:val="Footnote1"/>
        </w:rPr>
        <w:t xml:space="preserve">In </w:t>
      </w:r>
      <w:r w:rsidRPr="00D007DA">
        <w:rPr>
          <w:rStyle w:val="Footnote1"/>
          <w:lang w:val="bg-BG" w:eastAsia="bg-BG" w:bidi="bg-BG"/>
        </w:rPr>
        <w:t>202</w:t>
      </w:r>
      <w:r w:rsidRPr="00D007DA">
        <w:rPr>
          <w:rStyle w:val="Footnote1"/>
          <w:lang w:eastAsia="bg-BG" w:bidi="bg-BG"/>
        </w:rPr>
        <w:t>1</w:t>
      </w:r>
      <w:r w:rsidRPr="00D007DA">
        <w:rPr>
          <w:rStyle w:val="Footnote1"/>
          <w:lang w:val="bg-BG" w:eastAsia="bg-BG" w:bidi="bg-BG"/>
        </w:rPr>
        <w:t xml:space="preserve"> </w:t>
      </w:r>
      <w:r w:rsidRPr="00D007DA">
        <w:rPr>
          <w:rStyle w:val="Footnote1"/>
        </w:rPr>
        <w:t xml:space="preserve">the score was </w:t>
      </w:r>
      <w:r w:rsidRPr="00D007DA">
        <w:rPr>
          <w:rStyle w:val="Footnote1"/>
          <w:lang w:val="bg-BG" w:eastAsia="bg-BG" w:bidi="bg-BG"/>
        </w:rPr>
        <w:t>8</w:t>
      </w:r>
      <w:r w:rsidRPr="00D007DA">
        <w:rPr>
          <w:rStyle w:val="Footnote1"/>
          <w:lang w:eastAsia="bg-BG" w:bidi="bg-BG"/>
        </w:rPr>
        <w:t>1</w:t>
      </w:r>
      <w:r w:rsidRPr="00D007DA">
        <w:rPr>
          <w:rStyle w:val="Footnote1"/>
          <w:lang w:val="bg-BG" w:eastAsia="bg-BG" w:bidi="bg-BG"/>
        </w:rPr>
        <w:t xml:space="preserve">, </w:t>
      </w:r>
      <w:r w:rsidRPr="00D007DA">
        <w:rPr>
          <w:rStyle w:val="Footnote1"/>
        </w:rPr>
        <w:t xml:space="preserve">while, in </w:t>
      </w:r>
      <w:r w:rsidRPr="00D007DA">
        <w:rPr>
          <w:rStyle w:val="Footnote1"/>
          <w:lang w:val="bg-BG" w:eastAsia="bg-BG" w:bidi="bg-BG"/>
        </w:rPr>
        <w:t>202</w:t>
      </w:r>
      <w:r w:rsidRPr="00D007DA">
        <w:rPr>
          <w:rStyle w:val="Footnote1"/>
          <w:lang w:eastAsia="bg-BG" w:bidi="bg-BG"/>
        </w:rPr>
        <w:t>5</w:t>
      </w:r>
      <w:r w:rsidRPr="00D007DA">
        <w:rPr>
          <w:rStyle w:val="Footnote1"/>
          <w:lang w:val="bg-BG" w:eastAsia="bg-BG" w:bidi="bg-BG"/>
        </w:rPr>
        <w:t xml:space="preserve">, </w:t>
      </w:r>
      <w:r w:rsidRPr="00D007DA">
        <w:rPr>
          <w:rStyle w:val="Footnote1"/>
        </w:rPr>
        <w:t>the score is 7</w:t>
      </w:r>
      <w:r w:rsidRPr="00D007DA">
        <w:rPr>
          <w:rStyle w:val="Footnote1"/>
          <w:lang w:val="bg-BG" w:eastAsia="bg-BG" w:bidi="bg-BG"/>
        </w:rPr>
        <w:t xml:space="preserve">8. </w:t>
      </w:r>
      <w:r w:rsidRPr="00D007DA">
        <w:rPr>
          <w:rStyle w:val="Footnote1"/>
        </w:rPr>
        <w:t xml:space="preserve">The score significantly increases/decreases when it changes more than five points; improves/deteriorates (changes between </w:t>
      </w:r>
      <w:r w:rsidRPr="00D007DA">
        <w:rPr>
          <w:rStyle w:val="Footnote1"/>
          <w:lang w:val="bg-BG" w:eastAsia="bg-BG" w:bidi="bg-BG"/>
        </w:rPr>
        <w:t xml:space="preserve">4-5 </w:t>
      </w:r>
      <w:r w:rsidRPr="00D007DA">
        <w:rPr>
          <w:rStyle w:val="Footnote1"/>
        </w:rPr>
        <w:t xml:space="preserve">points); is relatively stable (changes from </w:t>
      </w:r>
      <w:r w:rsidRPr="00D007DA">
        <w:rPr>
          <w:rStyle w:val="Footnote1"/>
          <w:lang w:val="bg-BG" w:eastAsia="bg-BG" w:bidi="bg-BG"/>
        </w:rPr>
        <w:t xml:space="preserve">1-3 </w:t>
      </w:r>
      <w:r w:rsidRPr="00D007DA">
        <w:rPr>
          <w:rStyle w:val="Footnote1"/>
        </w:rPr>
        <w:t>points) in the last five years.</w:t>
      </w:r>
    </w:p>
  </w:footnote>
  <w:footnote w:id="42">
    <w:p w14:paraId="2BD02130" w14:textId="77777777" w:rsidR="00E53886" w:rsidRPr="004B4391" w:rsidRDefault="00E53886" w:rsidP="00385C31">
      <w:pPr>
        <w:pStyle w:val="FootnoteText"/>
      </w:pPr>
      <w:r w:rsidRPr="00D007DA">
        <w:rPr>
          <w:rStyle w:val="Footnote1"/>
          <w:vertAlign w:val="superscript"/>
          <w:lang w:val="bg-BG" w:eastAsia="bg-BG" w:bidi="bg-BG"/>
        </w:rPr>
        <w:footnoteRef/>
      </w:r>
      <w:r w:rsidRPr="00D007DA">
        <w:rPr>
          <w:rStyle w:val="Footnote1"/>
          <w:lang w:val="en-IE"/>
        </w:rPr>
        <w:t xml:space="preserve"> </w:t>
      </w:r>
      <w:r w:rsidRPr="00D007DA">
        <w:rPr>
          <w:rStyle w:val="Footnote1"/>
          <w:lang w:val="en-IE"/>
        </w:rPr>
        <w:tab/>
      </w:r>
      <w:r w:rsidRPr="00D007DA">
        <w:rPr>
          <w:rStyle w:val="Footnote1"/>
        </w:rPr>
        <w:t xml:space="preserve">Data from Special Eurobarometer 573 (2026) </w:t>
      </w:r>
      <w:r>
        <w:rPr>
          <w:rStyle w:val="Footnote1"/>
          <w:lang w:eastAsia="bg-BG" w:bidi="bg-BG"/>
        </w:rPr>
        <w:t>a</w:t>
      </w:r>
      <w:r w:rsidRPr="00D007DA">
        <w:rPr>
          <w:rStyle w:val="Footnote1"/>
          <w:lang w:eastAsia="bg-BG" w:bidi="bg-BG"/>
        </w:rPr>
        <w:t>nd F</w:t>
      </w:r>
      <w:r>
        <w:rPr>
          <w:rStyle w:val="Footnote1"/>
          <w:lang w:eastAsia="bg-BG" w:bidi="bg-BG"/>
        </w:rPr>
        <w:t xml:space="preserve">lash Eurobarometer </w:t>
      </w:r>
      <w:r w:rsidRPr="00162F7C">
        <w:rPr>
          <w:rStyle w:val="Footnote1"/>
          <w:lang w:eastAsia="bg-BG" w:bidi="bg-BG"/>
        </w:rPr>
        <w:t>582 (2026)</w:t>
      </w:r>
      <w:r>
        <w:rPr>
          <w:rStyle w:val="Footnote1"/>
          <w:lang w:eastAsia="bg-BG" w:bidi="bg-BG"/>
        </w:rPr>
        <w:t>.</w:t>
      </w:r>
      <w:r w:rsidRPr="00162F7C">
        <w:rPr>
          <w:rStyle w:val="Footnote1"/>
          <w:lang w:eastAsia="bg-BG" w:bidi="bg-BG"/>
        </w:rPr>
        <w:t xml:space="preserve"> </w:t>
      </w:r>
    </w:p>
  </w:footnote>
  <w:footnote w:id="43">
    <w:p w14:paraId="6A95FC49" w14:textId="77777777" w:rsidR="00E53886" w:rsidRPr="00652B10" w:rsidRDefault="00E53886" w:rsidP="00497277">
      <w:pPr>
        <w:pStyle w:val="FootnoteText"/>
      </w:pPr>
      <w:r>
        <w:rPr>
          <w:rStyle w:val="FootnoteReference"/>
        </w:rPr>
        <w:footnoteRef/>
      </w:r>
      <w:r>
        <w:t xml:space="preserve"> </w:t>
      </w:r>
      <w:r>
        <w:tab/>
        <w:t>Luxembourg Government (2026a), written input, p. 3. Country visit Luxembourg, Ministry of Justice and COPRECO.</w:t>
      </w:r>
    </w:p>
  </w:footnote>
  <w:footnote w:id="44">
    <w:p w14:paraId="16FC7229" w14:textId="77777777" w:rsidR="00E53886" w:rsidRPr="00582F34" w:rsidRDefault="00E53886" w:rsidP="00497277">
      <w:pPr>
        <w:pStyle w:val="FootnoteText"/>
      </w:pPr>
      <w:r>
        <w:rPr>
          <w:rStyle w:val="FootnoteReference"/>
        </w:rPr>
        <w:footnoteRef/>
      </w:r>
      <w:r>
        <w:t xml:space="preserve"> </w:t>
      </w:r>
      <w:r>
        <w:tab/>
        <w:t xml:space="preserve">Country visit, Ministry of Justice – COPRECO: no precise timeline has been communicated regarding the evaluation and the publication of the possible anti-corruption strategy. </w:t>
      </w:r>
    </w:p>
  </w:footnote>
  <w:footnote w:id="45">
    <w:p w14:paraId="3870D2C8" w14:textId="74C9EE56" w:rsidR="007C2E89" w:rsidRPr="00385C31" w:rsidRDefault="007C2E89">
      <w:pPr>
        <w:pStyle w:val="FootnoteText"/>
        <w:rPr>
          <w:lang w:val="en-US"/>
        </w:rPr>
      </w:pPr>
      <w:r>
        <w:rPr>
          <w:rStyle w:val="FootnoteReference"/>
        </w:rPr>
        <w:footnoteRef/>
      </w:r>
      <w:r>
        <w:tab/>
      </w:r>
      <w:r w:rsidR="00160355" w:rsidRPr="00160355">
        <w:t>OECD (2024), pp. 95 and 96</w:t>
      </w:r>
      <w:r w:rsidR="00160355">
        <w:t>.</w:t>
      </w:r>
    </w:p>
  </w:footnote>
  <w:footnote w:id="46">
    <w:p w14:paraId="6DB4491D" w14:textId="77777777" w:rsidR="00E53886" w:rsidRPr="00C74FE9" w:rsidRDefault="00E53886" w:rsidP="00385C31">
      <w:pPr>
        <w:pStyle w:val="FootnoteText"/>
      </w:pPr>
      <w:r>
        <w:rPr>
          <w:rStyle w:val="FootnoteReference"/>
        </w:rPr>
        <w:footnoteRef/>
      </w:r>
      <w:r>
        <w:t xml:space="preserve"> </w:t>
      </w:r>
      <w:r>
        <w:tab/>
        <w:t xml:space="preserve">Luxembourg Government (2026a), written input, p. 3. Country visit Luxembourg, Ministry of Justice and COPRECO. </w:t>
      </w:r>
    </w:p>
  </w:footnote>
  <w:footnote w:id="47">
    <w:p w14:paraId="3865BC8C" w14:textId="77777777" w:rsidR="00E53886" w:rsidRPr="00D3180D" w:rsidRDefault="00E53886" w:rsidP="00385C31">
      <w:pPr>
        <w:pStyle w:val="FootnoteText"/>
      </w:pPr>
      <w:r>
        <w:rPr>
          <w:rStyle w:val="FootnoteReference"/>
        </w:rPr>
        <w:footnoteRef/>
      </w:r>
      <w:r>
        <w:t xml:space="preserve"> </w:t>
      </w:r>
      <w:r>
        <w:tab/>
        <w:t>Luxembourg Government (2026a), written input, p. 9. Number of cases registered yearly: 29 in 2020, 22 in 2021, 28 in 2022, 31 in 2023, nine cases were registered in in 2024 and 11 in 2025.</w:t>
      </w:r>
    </w:p>
  </w:footnote>
  <w:footnote w:id="48">
    <w:p w14:paraId="31FF06A0" w14:textId="77777777" w:rsidR="00E53886" w:rsidRPr="00D3180D" w:rsidRDefault="00E53886" w:rsidP="00385C31">
      <w:pPr>
        <w:pStyle w:val="FootnoteText"/>
      </w:pPr>
      <w:r>
        <w:rPr>
          <w:rStyle w:val="FootnoteReference"/>
        </w:rPr>
        <w:footnoteRef/>
      </w:r>
      <w:r>
        <w:t xml:space="preserve"> </w:t>
      </w:r>
      <w:r>
        <w:tab/>
        <w:t>Luxembourg Government (2026a), written input, p. 9. Six final convictions were issued in 2025 (highest level since 2020 together with 2022) compared to four in 2024.</w:t>
      </w:r>
    </w:p>
  </w:footnote>
  <w:footnote w:id="49">
    <w:p w14:paraId="1FADF1B5" w14:textId="77777777" w:rsidR="00E53886" w:rsidRPr="00230783" w:rsidRDefault="00E53886" w:rsidP="00385C31">
      <w:pPr>
        <w:pStyle w:val="FootnoteText"/>
      </w:pPr>
      <w:r w:rsidRPr="00230783">
        <w:rPr>
          <w:rStyle w:val="FootnoteReference"/>
        </w:rPr>
        <w:footnoteRef/>
      </w:r>
      <w:r w:rsidRPr="00230783">
        <w:t xml:space="preserve"> </w:t>
      </w:r>
      <w:r>
        <w:tab/>
      </w:r>
      <w:r w:rsidRPr="00A401B5">
        <w:t>The Law entered into force on 19 December 2025.</w:t>
      </w:r>
    </w:p>
  </w:footnote>
  <w:footnote w:id="50">
    <w:p w14:paraId="6F1E6E77" w14:textId="77777777" w:rsidR="00E53886" w:rsidRPr="00316D82" w:rsidRDefault="00E53886" w:rsidP="00385C31">
      <w:pPr>
        <w:pStyle w:val="FootnoteText"/>
      </w:pPr>
      <w:r w:rsidRPr="00316D82">
        <w:rPr>
          <w:rStyle w:val="Footnote1"/>
          <w:vertAlign w:val="superscript"/>
          <w:lang w:bidi="bg-BG"/>
        </w:rPr>
        <w:footnoteRef/>
      </w:r>
      <w:r w:rsidRPr="00316D82">
        <w:rPr>
          <w:rStyle w:val="Footnote1"/>
          <w:lang w:bidi="bg-BG"/>
        </w:rPr>
        <w:t xml:space="preserve"> </w:t>
      </w:r>
      <w:r>
        <w:rPr>
          <w:rStyle w:val="Footnote1"/>
          <w:lang w:bidi="bg-BG"/>
        </w:rPr>
        <w:tab/>
      </w:r>
      <w:r w:rsidRPr="00316D82">
        <w:rPr>
          <w:rStyle w:val="Footnote1"/>
          <w:lang w:bidi="bg-BG"/>
        </w:rPr>
        <w:t xml:space="preserve">Country visit Luxembourg, </w:t>
      </w:r>
      <w:r w:rsidRPr="007F133B">
        <w:rPr>
          <w:szCs w:val="24"/>
          <w:bdr w:val="none" w:sz="0" w:space="0" w:color="auto" w:frame="1"/>
        </w:rPr>
        <w:t>Grand Ducal</w:t>
      </w:r>
      <w:r>
        <w:rPr>
          <w:szCs w:val="24"/>
          <w:bdr w:val="none" w:sz="0" w:space="0" w:color="auto" w:frame="1"/>
        </w:rPr>
        <w:t xml:space="preserve"> </w:t>
      </w:r>
      <w:r w:rsidRPr="00316D82">
        <w:rPr>
          <w:rStyle w:val="Footnote1"/>
        </w:rPr>
        <w:t>Police</w:t>
      </w:r>
      <w:r w:rsidRPr="00316D82">
        <w:rPr>
          <w:rStyle w:val="Footnote1"/>
          <w:lang w:bidi="bg-BG"/>
        </w:rPr>
        <w:t>.</w:t>
      </w:r>
    </w:p>
  </w:footnote>
  <w:footnote w:id="51">
    <w:p w14:paraId="7D80B088" w14:textId="77777777" w:rsidR="00E53886" w:rsidRPr="00120C9E" w:rsidRDefault="00E53886" w:rsidP="00385C31">
      <w:pPr>
        <w:pStyle w:val="FootnoteText"/>
      </w:pPr>
      <w:r>
        <w:rPr>
          <w:rStyle w:val="FootnoteReference"/>
        </w:rPr>
        <w:footnoteRef/>
      </w:r>
      <w:r>
        <w:tab/>
        <w:t>Luxembourg Government (2026a), written input, pp. 7-8.</w:t>
      </w:r>
    </w:p>
  </w:footnote>
  <w:footnote w:id="52">
    <w:p w14:paraId="4D01416C" w14:textId="77777777" w:rsidR="00E53886" w:rsidRPr="00C508C4" w:rsidRDefault="00E53886" w:rsidP="00385C31">
      <w:pPr>
        <w:pStyle w:val="FootnoteText"/>
      </w:pPr>
      <w:r>
        <w:rPr>
          <w:rStyle w:val="FootnoteReference"/>
        </w:rPr>
        <w:footnoteRef/>
      </w:r>
      <w:r>
        <w:t xml:space="preserve"> </w:t>
      </w:r>
      <w:r>
        <w:tab/>
      </w:r>
      <w:r w:rsidRPr="00316D82">
        <w:t>Luxembourg Government</w:t>
      </w:r>
      <w:r>
        <w:t xml:space="preserve"> (2026a)</w:t>
      </w:r>
      <w:r w:rsidRPr="00316D82">
        <w:t xml:space="preserve">, </w:t>
      </w:r>
      <w:r>
        <w:t xml:space="preserve">written input, </w:t>
      </w:r>
      <w:r w:rsidRPr="00316D82">
        <w:t xml:space="preserve">p. </w:t>
      </w:r>
      <w:r>
        <w:t>7</w:t>
      </w:r>
      <w:r w:rsidRPr="00316D82">
        <w:t>.</w:t>
      </w:r>
    </w:p>
  </w:footnote>
  <w:footnote w:id="53">
    <w:p w14:paraId="4437BB5A" w14:textId="77777777" w:rsidR="00E53886" w:rsidRPr="00DA3A89" w:rsidRDefault="00E53886" w:rsidP="00385C31">
      <w:pPr>
        <w:pStyle w:val="FootnoteText"/>
      </w:pPr>
      <w:r>
        <w:rPr>
          <w:rStyle w:val="FootnoteReference"/>
        </w:rPr>
        <w:footnoteRef/>
      </w:r>
      <w:r>
        <w:t xml:space="preserve"> </w:t>
      </w:r>
      <w:r>
        <w:tab/>
      </w:r>
      <w:r w:rsidRPr="00316D82">
        <w:t>Luxembourg Government</w:t>
      </w:r>
      <w:r>
        <w:t xml:space="preserve"> (2026a)</w:t>
      </w:r>
      <w:r w:rsidRPr="00316D82">
        <w:t xml:space="preserve">, </w:t>
      </w:r>
      <w:r>
        <w:t xml:space="preserve">written input, </w:t>
      </w:r>
      <w:r w:rsidRPr="00316D82">
        <w:t xml:space="preserve">p. </w:t>
      </w:r>
      <w:r>
        <w:t>7</w:t>
      </w:r>
      <w:r w:rsidRPr="00316D82">
        <w:t>.</w:t>
      </w:r>
      <w:r>
        <w:t xml:space="preserve"> A total of 34 police officers are now working in p</w:t>
      </w:r>
      <w:r w:rsidRPr="00455364">
        <w:t>olice services dealing with economic and financial crimes</w:t>
      </w:r>
      <w:r>
        <w:t>.</w:t>
      </w:r>
    </w:p>
  </w:footnote>
  <w:footnote w:id="54">
    <w:p w14:paraId="291B53D9" w14:textId="77777777" w:rsidR="00E53886" w:rsidRPr="00316D82" w:rsidRDefault="00E53886" w:rsidP="00385C31">
      <w:pPr>
        <w:pStyle w:val="FootnoteText"/>
      </w:pPr>
      <w:r w:rsidRPr="009D7A21">
        <w:rPr>
          <w:rStyle w:val="FootnoteReference"/>
        </w:rPr>
        <w:footnoteRef/>
      </w:r>
      <w:r w:rsidRPr="00316D82">
        <w:t xml:space="preserve"> </w:t>
      </w:r>
      <w:r>
        <w:tab/>
      </w:r>
      <w:r w:rsidRPr="00316D82">
        <w:t>Luxembourg Government</w:t>
      </w:r>
      <w:r>
        <w:t xml:space="preserve"> (2026a)</w:t>
      </w:r>
      <w:r w:rsidRPr="00316D82">
        <w:t xml:space="preserve">, </w:t>
      </w:r>
      <w:r>
        <w:t xml:space="preserve">written input, </w:t>
      </w:r>
      <w:r w:rsidRPr="00316D82">
        <w:t>p. 8. Country visit Luxembourg</w:t>
      </w:r>
      <w:r>
        <w:t>,</w:t>
      </w:r>
      <w:r w:rsidRPr="00316D82">
        <w:t xml:space="preserve"> </w:t>
      </w:r>
      <w:r>
        <w:t>Prosecution Service</w:t>
      </w:r>
      <w:r w:rsidRPr="00316D82">
        <w:t xml:space="preserve">. Because of the geographical location of Luxembourg, investigation of corruption cases often requires the use of </w:t>
      </w:r>
      <w:r>
        <w:t>i</w:t>
      </w:r>
      <w:r w:rsidRPr="00316D82">
        <w:t xml:space="preserve">nternational </w:t>
      </w:r>
      <w:r>
        <w:t>l</w:t>
      </w:r>
      <w:r w:rsidRPr="00316D82">
        <w:t xml:space="preserve">egal </w:t>
      </w:r>
      <w:r>
        <w:t>a</w:t>
      </w:r>
      <w:r w:rsidRPr="00316D82">
        <w:t>ssistance tools.</w:t>
      </w:r>
    </w:p>
  </w:footnote>
  <w:footnote w:id="55">
    <w:p w14:paraId="186C71BE" w14:textId="77777777" w:rsidR="00E53886" w:rsidRPr="00AE3F9A" w:rsidRDefault="00E53886" w:rsidP="00385C31">
      <w:pPr>
        <w:pStyle w:val="FootnoteText"/>
      </w:pPr>
      <w:r w:rsidRPr="00316D82">
        <w:rPr>
          <w:rStyle w:val="Footnote1"/>
          <w:vertAlign w:val="superscript"/>
          <w:lang w:bidi="bg-BG"/>
        </w:rPr>
        <w:footnoteRef/>
      </w:r>
      <w:r w:rsidRPr="00316D82">
        <w:rPr>
          <w:rStyle w:val="Footnote1"/>
          <w:lang w:bidi="bg-BG"/>
        </w:rPr>
        <w:t xml:space="preserve"> </w:t>
      </w:r>
      <w:r>
        <w:rPr>
          <w:rStyle w:val="Footnote1"/>
          <w:lang w:bidi="bg-BG"/>
        </w:rPr>
        <w:tab/>
      </w:r>
      <w:r w:rsidRPr="00316D82">
        <w:rPr>
          <w:rStyle w:val="Footnote1"/>
        </w:rPr>
        <w:t xml:space="preserve">Country visit Luxembourg, Prosecution Service. These difficulties affect all the </w:t>
      </w:r>
      <w:r>
        <w:rPr>
          <w:rStyle w:val="Footnote1"/>
        </w:rPr>
        <w:t>justice system</w:t>
      </w:r>
      <w:r w:rsidRPr="00316D82">
        <w:rPr>
          <w:rStyle w:val="Footnote1"/>
        </w:rPr>
        <w:t xml:space="preserve"> and not only the positions related to the fight against corruption. </w:t>
      </w:r>
      <w:r>
        <w:rPr>
          <w:rStyle w:val="Footnote1"/>
        </w:rPr>
        <w:t>See pillar I.</w:t>
      </w:r>
    </w:p>
  </w:footnote>
  <w:footnote w:id="56">
    <w:p w14:paraId="13544B8F" w14:textId="77777777" w:rsidR="00E53886" w:rsidRPr="00316D82" w:rsidRDefault="00E53886" w:rsidP="00385C31">
      <w:pPr>
        <w:pStyle w:val="FootnoteText"/>
      </w:pPr>
      <w:r w:rsidRPr="009D7A21">
        <w:rPr>
          <w:rStyle w:val="FootnoteReference"/>
        </w:rPr>
        <w:footnoteRef/>
      </w:r>
      <w:r w:rsidRPr="00316D82">
        <w:t xml:space="preserve"> </w:t>
      </w:r>
      <w:r>
        <w:tab/>
      </w:r>
      <w:r w:rsidRPr="00E65EFA">
        <w:t>European Public Prosecutor’s Office</w:t>
      </w:r>
      <w:r w:rsidRPr="00316D82">
        <w:t xml:space="preserve"> (2026), </w:t>
      </w:r>
      <w:r>
        <w:t xml:space="preserve">written input, </w:t>
      </w:r>
      <w:r w:rsidRPr="00316D82">
        <w:t>p. 42.</w:t>
      </w:r>
    </w:p>
  </w:footnote>
  <w:footnote w:id="57">
    <w:p w14:paraId="23E37602" w14:textId="77777777" w:rsidR="00E53886" w:rsidRPr="00316D82" w:rsidRDefault="00E53886" w:rsidP="00385C31">
      <w:pPr>
        <w:pStyle w:val="FootnoteText"/>
      </w:pPr>
      <w:r w:rsidRPr="009D7A21">
        <w:rPr>
          <w:rStyle w:val="FootnoteReference"/>
        </w:rPr>
        <w:footnoteRef/>
      </w:r>
      <w:r w:rsidRPr="009D7A21">
        <w:rPr>
          <w:vertAlign w:val="superscript"/>
        </w:rPr>
        <w:t xml:space="preserve"> </w:t>
      </w:r>
      <w:r>
        <w:rPr>
          <w:vertAlign w:val="superscript"/>
        </w:rPr>
        <w:tab/>
      </w:r>
      <w:r w:rsidRPr="00316D82">
        <w:t xml:space="preserve">Two more </w:t>
      </w:r>
      <w:r w:rsidRPr="008C602B">
        <w:rPr>
          <w:rStyle w:val="Footnote1"/>
        </w:rPr>
        <w:t>investigators</w:t>
      </w:r>
      <w:r w:rsidRPr="00316D82">
        <w:t xml:space="preserve"> should join by the end of 2026.</w:t>
      </w:r>
    </w:p>
  </w:footnote>
  <w:footnote w:id="58">
    <w:p w14:paraId="6832E206" w14:textId="77777777" w:rsidR="00E53886" w:rsidRPr="009C4F60" w:rsidRDefault="00E53886" w:rsidP="00385C31">
      <w:pPr>
        <w:pStyle w:val="FootnoteText"/>
      </w:pPr>
      <w:r>
        <w:rPr>
          <w:rStyle w:val="FootnoteReference"/>
        </w:rPr>
        <w:footnoteRef/>
      </w:r>
      <w:r>
        <w:t xml:space="preserve"> </w:t>
      </w:r>
      <w:r>
        <w:tab/>
        <w:t>European Public Prosecutor’s Office (2026), written input, p. 44. A</w:t>
      </w:r>
      <w:r w:rsidRPr="008C602B">
        <w:t xml:space="preserve"> good cooperation has </w:t>
      </w:r>
      <w:r>
        <w:t xml:space="preserve">also </w:t>
      </w:r>
      <w:r w:rsidRPr="008C602B">
        <w:t>been established between the EPPO and the General Inspection of Finance</w:t>
      </w:r>
      <w:r>
        <w:t>.</w:t>
      </w:r>
    </w:p>
  </w:footnote>
  <w:footnote w:id="59">
    <w:p w14:paraId="0315DBF9" w14:textId="77777777" w:rsidR="00E53886" w:rsidRPr="00316D82" w:rsidRDefault="00E53886" w:rsidP="00385C31">
      <w:pPr>
        <w:pStyle w:val="FootnoteText"/>
      </w:pPr>
      <w:r w:rsidRPr="009D7A21">
        <w:rPr>
          <w:rStyle w:val="FootnoteReference"/>
        </w:rPr>
        <w:footnoteRef/>
      </w:r>
      <w:r w:rsidRPr="00316D82">
        <w:t xml:space="preserve"> </w:t>
      </w:r>
      <w:r>
        <w:tab/>
      </w:r>
      <w:r w:rsidRPr="00316D82">
        <w:t>2025 Rule of Law Report, p. 8</w:t>
      </w:r>
      <w:r>
        <w:t xml:space="preserve">; </w:t>
      </w:r>
      <w:r w:rsidRPr="00316D82">
        <w:t>Chamber of Deputies (2026</w:t>
      </w:r>
      <w:r>
        <w:t>b</w:t>
      </w:r>
      <w:r w:rsidRPr="00316D82">
        <w:t>)</w:t>
      </w:r>
      <w:r>
        <w:t>.</w:t>
      </w:r>
    </w:p>
  </w:footnote>
  <w:footnote w:id="60">
    <w:p w14:paraId="78A4801F" w14:textId="77777777" w:rsidR="00E53886" w:rsidRPr="00316D82" w:rsidRDefault="00E53886" w:rsidP="00385C31">
      <w:pPr>
        <w:pStyle w:val="FootnoteText"/>
      </w:pPr>
      <w:r w:rsidRPr="009D7A21">
        <w:rPr>
          <w:rStyle w:val="FootnoteReference"/>
        </w:rPr>
        <w:footnoteRef/>
      </w:r>
      <w:r w:rsidRPr="00316D82">
        <w:t xml:space="preserve"> </w:t>
      </w:r>
      <w:r>
        <w:tab/>
      </w:r>
      <w:r w:rsidRPr="00316D82">
        <w:t>Rule of Procedure of the Chamber, Chapter 18 bis, Article 178bis</w:t>
      </w:r>
      <w:r>
        <w:t>.</w:t>
      </w:r>
    </w:p>
  </w:footnote>
  <w:footnote w:id="61">
    <w:p w14:paraId="59D42CF5" w14:textId="7033D059" w:rsidR="00E53886" w:rsidRPr="00316D82" w:rsidRDefault="00E53886" w:rsidP="00385C31">
      <w:pPr>
        <w:pStyle w:val="FootnoteText"/>
      </w:pPr>
      <w:r w:rsidRPr="009D7A21">
        <w:rPr>
          <w:rStyle w:val="FootnoteReference"/>
        </w:rPr>
        <w:footnoteRef/>
      </w:r>
      <w:r w:rsidRPr="00316D82">
        <w:t xml:space="preserve"> </w:t>
      </w:r>
      <w:bookmarkStart w:id="3" w:name="_Hlk225422991"/>
      <w:r>
        <w:tab/>
      </w:r>
      <w:r w:rsidRPr="00316D82">
        <w:t>Chamber of Deputies (2026</w:t>
      </w:r>
      <w:r>
        <w:t>a</w:t>
      </w:r>
      <w:r w:rsidRPr="00316D82">
        <w:t xml:space="preserve">), </w:t>
      </w:r>
      <w:r w:rsidR="00B13038">
        <w:t xml:space="preserve">additional </w:t>
      </w:r>
      <w:r>
        <w:t xml:space="preserve">written input, </w:t>
      </w:r>
      <w:r w:rsidRPr="00316D82">
        <w:t xml:space="preserve">p. 1. Country </w:t>
      </w:r>
      <w:r>
        <w:t>v</w:t>
      </w:r>
      <w:r w:rsidRPr="00316D82">
        <w:t>isit Luxembourg, Chamber of Deputies.</w:t>
      </w:r>
    </w:p>
    <w:bookmarkEnd w:id="3"/>
  </w:footnote>
  <w:footnote w:id="62">
    <w:p w14:paraId="3BCDA1F9" w14:textId="77777777" w:rsidR="00E53886" w:rsidRPr="00316D82" w:rsidRDefault="00E53886" w:rsidP="00385C31">
      <w:pPr>
        <w:pStyle w:val="FootnoteText"/>
      </w:pPr>
      <w:r w:rsidRPr="009D7A21">
        <w:rPr>
          <w:rStyle w:val="FootnoteReference"/>
        </w:rPr>
        <w:footnoteRef/>
      </w:r>
      <w:r w:rsidRPr="00316D82">
        <w:t xml:space="preserve"> </w:t>
      </w:r>
      <w:r>
        <w:tab/>
      </w:r>
      <w:r w:rsidRPr="00316D82">
        <w:t xml:space="preserve">Country </w:t>
      </w:r>
      <w:r>
        <w:t>v</w:t>
      </w:r>
      <w:r w:rsidRPr="00316D82">
        <w:t xml:space="preserve">isit Luxembourg, Chamber of Deputies. </w:t>
      </w:r>
    </w:p>
  </w:footnote>
  <w:footnote w:id="63">
    <w:p w14:paraId="5ACBA7AB" w14:textId="77777777" w:rsidR="00E53886" w:rsidRPr="00316D82" w:rsidRDefault="00E53886" w:rsidP="00385C31">
      <w:pPr>
        <w:pStyle w:val="FootnoteText"/>
      </w:pPr>
      <w:r w:rsidRPr="009D7A21">
        <w:rPr>
          <w:rStyle w:val="FootnoteReference"/>
        </w:rPr>
        <w:footnoteRef/>
      </w:r>
      <w:r w:rsidRPr="00316D82">
        <w:t xml:space="preserve"> </w:t>
      </w:r>
      <w:r>
        <w:tab/>
      </w:r>
      <w:r w:rsidRPr="00316D82">
        <w:t xml:space="preserve">Country visit Luxembourg, Chamber of Deputies. </w:t>
      </w:r>
      <w:r w:rsidRPr="008851A8">
        <w:t xml:space="preserve">The Legal Department of the Chamber of Deputies has been asked to clarify those aspects. </w:t>
      </w:r>
      <w:r w:rsidRPr="00316D82">
        <w:t>The Chamber of Deputies also refers to minor technical problems inherent to the setting up of such a system.</w:t>
      </w:r>
    </w:p>
  </w:footnote>
  <w:footnote w:id="64">
    <w:p w14:paraId="51EC3FA2" w14:textId="5A4E6759" w:rsidR="00E53886" w:rsidRPr="00EF70CB" w:rsidRDefault="00E53886" w:rsidP="00385C31">
      <w:pPr>
        <w:pStyle w:val="FootnoteText"/>
      </w:pPr>
      <w:r w:rsidRPr="009D7A21">
        <w:rPr>
          <w:rStyle w:val="FootnoteReference"/>
        </w:rPr>
        <w:footnoteRef/>
      </w:r>
      <w:r w:rsidRPr="009D7A21">
        <w:rPr>
          <w:vertAlign w:val="superscript"/>
        </w:rPr>
        <w:t xml:space="preserve"> </w:t>
      </w:r>
      <w:r>
        <w:rPr>
          <w:vertAlign w:val="superscript"/>
        </w:rPr>
        <w:tab/>
      </w:r>
      <w:r w:rsidRPr="00A401B5">
        <w:t>Chamber of Deputies (2026</w:t>
      </w:r>
      <w:r>
        <w:t>a</w:t>
      </w:r>
      <w:r w:rsidRPr="00A401B5">
        <w:t xml:space="preserve">), </w:t>
      </w:r>
      <w:r w:rsidR="00B13038">
        <w:t xml:space="preserve">additional </w:t>
      </w:r>
      <w:r>
        <w:t xml:space="preserve">written input, </w:t>
      </w:r>
      <w:r w:rsidRPr="00A401B5">
        <w:t xml:space="preserve">p. 1. Country </w:t>
      </w:r>
      <w:r>
        <w:t>v</w:t>
      </w:r>
      <w:r w:rsidRPr="00A401B5">
        <w:t>isit Luxembourg, Chamber of Deputies.</w:t>
      </w:r>
    </w:p>
  </w:footnote>
  <w:footnote w:id="65">
    <w:p w14:paraId="6F5214FF" w14:textId="77777777" w:rsidR="00E53886" w:rsidRPr="00425F4B" w:rsidRDefault="00E53886" w:rsidP="00497277">
      <w:pPr>
        <w:pStyle w:val="FootnoteText"/>
      </w:pPr>
      <w:r>
        <w:rPr>
          <w:rStyle w:val="FootnoteReference"/>
        </w:rPr>
        <w:footnoteRef/>
      </w:r>
      <w:r>
        <w:t xml:space="preserve"> </w:t>
      </w:r>
      <w:r>
        <w:tab/>
        <w:t>Special report on the on the financing of the sensitivity Piraten for the term 2018-2023.</w:t>
      </w:r>
    </w:p>
  </w:footnote>
  <w:footnote w:id="66">
    <w:p w14:paraId="3AFC7119" w14:textId="77777777" w:rsidR="00E53886" w:rsidRPr="009A0889" w:rsidRDefault="00E53886" w:rsidP="00385C31">
      <w:pPr>
        <w:pStyle w:val="FootnoteText"/>
      </w:pPr>
      <w:r>
        <w:rPr>
          <w:rStyle w:val="FootnoteReference"/>
        </w:rPr>
        <w:footnoteRef/>
      </w:r>
      <w:r>
        <w:t xml:space="preserve"> </w:t>
      </w:r>
      <w:r>
        <w:tab/>
        <w:t xml:space="preserve">Article 19 of the </w:t>
      </w:r>
      <w:r w:rsidRPr="009A0889">
        <w:t xml:space="preserve">Regulation of the Bureau </w:t>
      </w:r>
      <w:r>
        <w:t xml:space="preserve">of the Chamber of Deputies on financial management of political groups, technical groups and political sensibilities, as amended by </w:t>
      </w:r>
      <w:r w:rsidRPr="00EF35DC">
        <w:t xml:space="preserve">Proposal </w:t>
      </w:r>
      <w:r w:rsidRPr="007B6103">
        <w:t>8652</w:t>
      </w:r>
      <w:r w:rsidRPr="00EF35DC">
        <w:t xml:space="preserve"> to amend the Internal Rules of Procedure on the legal status of political groups, technical groups and political sensibilities</w:t>
      </w:r>
      <w:r>
        <w:t>. Cout of Auditors (2026), written input.</w:t>
      </w:r>
    </w:p>
  </w:footnote>
  <w:footnote w:id="67">
    <w:p w14:paraId="018BACAB" w14:textId="77777777" w:rsidR="00E53886" w:rsidRPr="00AE3F9A" w:rsidRDefault="00E53886" w:rsidP="00385C31">
      <w:pPr>
        <w:pStyle w:val="FootnoteText"/>
      </w:pPr>
      <w:r>
        <w:rPr>
          <w:rStyle w:val="FootnoteReference"/>
        </w:rPr>
        <w:footnoteRef/>
      </w:r>
      <w:r>
        <w:t xml:space="preserve"> </w:t>
      </w:r>
      <w:r>
        <w:tab/>
        <w:t>Drafts</w:t>
      </w:r>
      <w:r w:rsidRPr="00AE3F9A">
        <w:t xml:space="preserve"> n°8052 et n°61.113.</w:t>
      </w:r>
    </w:p>
  </w:footnote>
  <w:footnote w:id="68">
    <w:p w14:paraId="666BD4C4" w14:textId="77777777" w:rsidR="00E53886" w:rsidRPr="00D1381D" w:rsidRDefault="00E53886" w:rsidP="00385C31">
      <w:pPr>
        <w:pStyle w:val="FootnoteText"/>
      </w:pPr>
      <w:r w:rsidRPr="00D1381D">
        <w:rPr>
          <w:rStyle w:val="FootnoteReference"/>
        </w:rPr>
        <w:footnoteRef/>
      </w:r>
      <w:r w:rsidRPr="00D1381D">
        <w:t xml:space="preserve"> </w:t>
      </w:r>
      <w:r>
        <w:tab/>
      </w:r>
      <w:r w:rsidRPr="00D1381D">
        <w:t>Luxembourg Government (2026</w:t>
      </w:r>
      <w:r>
        <w:t>a</w:t>
      </w:r>
      <w:r w:rsidRPr="00D1381D">
        <w:t xml:space="preserve">), </w:t>
      </w:r>
      <w:r>
        <w:t xml:space="preserve">written input, </w:t>
      </w:r>
      <w:r w:rsidRPr="00D1381D">
        <w:t>p. 6.</w:t>
      </w:r>
    </w:p>
  </w:footnote>
  <w:footnote w:id="69">
    <w:p w14:paraId="51CE4955" w14:textId="77777777" w:rsidR="00E53886" w:rsidRPr="00D1381D" w:rsidRDefault="00E53886" w:rsidP="00385C31">
      <w:pPr>
        <w:pStyle w:val="FootnoteText"/>
      </w:pPr>
      <w:r w:rsidRPr="00D1381D">
        <w:rPr>
          <w:rStyle w:val="FootnoteReference"/>
        </w:rPr>
        <w:footnoteRef/>
      </w:r>
      <w:r w:rsidRPr="00D1381D">
        <w:t xml:space="preserve"> </w:t>
      </w:r>
      <w:r>
        <w:tab/>
      </w:r>
      <w:r w:rsidRPr="00041F07">
        <w:t>Council of State (2024)</w:t>
      </w:r>
      <w:r>
        <w:t>, 21.11.2024</w:t>
      </w:r>
      <w:r w:rsidRPr="00D1381D">
        <w:t>. The Council of State in particular recommended that the Rules of Procedure of the Chamber of Deputies be more reflected in the draft law.</w:t>
      </w:r>
    </w:p>
  </w:footnote>
  <w:footnote w:id="70">
    <w:p w14:paraId="71E016EB" w14:textId="77777777" w:rsidR="00E53886" w:rsidRPr="00A23C36" w:rsidRDefault="00E53886" w:rsidP="00385C31">
      <w:pPr>
        <w:pStyle w:val="FootnoteText"/>
      </w:pPr>
      <w:r w:rsidRPr="009468A8">
        <w:rPr>
          <w:rStyle w:val="FootnoteReference"/>
        </w:rPr>
        <w:footnoteRef/>
      </w:r>
      <w:r w:rsidRPr="009468A8">
        <w:t xml:space="preserve"> </w:t>
      </w:r>
      <w:r w:rsidRPr="009468A8">
        <w:tab/>
      </w:r>
      <w:r w:rsidRPr="003B3078">
        <w:t>Union of cities and municipalities of Luxembourg (2022)</w:t>
      </w:r>
      <w:r w:rsidRPr="009468A8">
        <w:rPr>
          <w:rStyle w:val="Bodytext1"/>
        </w:rPr>
        <w:t>.</w:t>
      </w:r>
    </w:p>
  </w:footnote>
  <w:footnote w:id="71">
    <w:p w14:paraId="3CDC3BCB" w14:textId="77777777" w:rsidR="00E53886" w:rsidRPr="00A23C36" w:rsidRDefault="00E53886" w:rsidP="00385C31">
      <w:pPr>
        <w:pStyle w:val="FootnoteText"/>
      </w:pPr>
      <w:r>
        <w:rPr>
          <w:rStyle w:val="FootnoteReference"/>
        </w:rPr>
        <w:footnoteRef/>
      </w:r>
      <w:r>
        <w:t xml:space="preserve"> </w:t>
      </w:r>
      <w:r>
        <w:tab/>
      </w:r>
      <w:r w:rsidRPr="00A23C36">
        <w:t>The d</w:t>
      </w:r>
      <w:r>
        <w:t>e</w:t>
      </w:r>
      <w:r w:rsidRPr="00A23C36">
        <w:t>clarations of assets w</w:t>
      </w:r>
      <w:r>
        <w:t>ould be limited to immovable properties of the elected representatives. Government’s amendments to draft law n° 8052.</w:t>
      </w:r>
    </w:p>
  </w:footnote>
  <w:footnote w:id="72">
    <w:p w14:paraId="67EEAF7D" w14:textId="4D9D7336" w:rsidR="00E53886" w:rsidRPr="00714BE8" w:rsidRDefault="00E53886" w:rsidP="00385C31">
      <w:pPr>
        <w:pStyle w:val="FootnoteText"/>
      </w:pPr>
      <w:r>
        <w:rPr>
          <w:rStyle w:val="FootnoteReference"/>
        </w:rPr>
        <w:footnoteRef/>
      </w:r>
      <w:r>
        <w:t xml:space="preserve"> </w:t>
      </w:r>
      <w:r>
        <w:tab/>
      </w:r>
      <w:r w:rsidRPr="00D1381D">
        <w:t>Committee of Deontology</w:t>
      </w:r>
      <w:r>
        <w:t xml:space="preserve"> (2026b), </w:t>
      </w:r>
      <w:r w:rsidRPr="00D1381D">
        <w:t>p</w:t>
      </w:r>
      <w:r>
        <w:t>p</w:t>
      </w:r>
      <w:r w:rsidRPr="00D1381D">
        <w:t>. 4</w:t>
      </w:r>
      <w:r>
        <w:t>-5.</w:t>
      </w:r>
    </w:p>
  </w:footnote>
  <w:footnote w:id="73">
    <w:p w14:paraId="4ACF38F5" w14:textId="2A20DB27" w:rsidR="00E53886" w:rsidRPr="00D1381D" w:rsidRDefault="00E53886" w:rsidP="00385C31">
      <w:pPr>
        <w:pStyle w:val="FootnoteText"/>
      </w:pPr>
      <w:r w:rsidRPr="00D1381D">
        <w:rPr>
          <w:rStyle w:val="FootnoteReference"/>
        </w:rPr>
        <w:footnoteRef/>
      </w:r>
      <w:r>
        <w:t xml:space="preserve"> </w:t>
      </w:r>
      <w:r>
        <w:tab/>
        <w:t xml:space="preserve">Committee of Deontology (2026a), written input, p. 1; </w:t>
      </w:r>
      <w:r w:rsidRPr="00D1381D">
        <w:t>Committee of Deontology</w:t>
      </w:r>
      <w:r>
        <w:t xml:space="preserve"> (2026b)</w:t>
      </w:r>
      <w:r w:rsidRPr="00D1381D">
        <w:t>, p</w:t>
      </w:r>
      <w:r w:rsidR="009168AA">
        <w:t>p</w:t>
      </w:r>
      <w:r w:rsidRPr="00D1381D">
        <w:t>. 4</w:t>
      </w:r>
      <w:r w:rsidR="009168AA">
        <w:t>, 5 and 6</w:t>
      </w:r>
      <w:r w:rsidRPr="00D1381D">
        <w:t xml:space="preserve">. </w:t>
      </w:r>
      <w:r w:rsidRPr="00933766">
        <w:t>The Committee also made an unofficial recommendation to the Minster of State to ensure the update of the transparency register</w:t>
      </w:r>
      <w:r>
        <w:t>.</w:t>
      </w:r>
      <w:r w:rsidRPr="00D1381D">
        <w:t xml:space="preserve"> The absence of update was mostly due to technical issues</w:t>
      </w:r>
      <w:r>
        <w:t xml:space="preserve"> and required actions have been implemented</w:t>
      </w:r>
      <w:r w:rsidRPr="00D1381D">
        <w:t>.</w:t>
      </w:r>
    </w:p>
  </w:footnote>
  <w:footnote w:id="74">
    <w:p w14:paraId="0AC8F416" w14:textId="3A4EC638" w:rsidR="00E53886" w:rsidRPr="00AE3F9A" w:rsidRDefault="00E53886" w:rsidP="00497277">
      <w:pPr>
        <w:pStyle w:val="FootnoteText"/>
      </w:pPr>
      <w:r w:rsidRPr="00AE3F9A">
        <w:rPr>
          <w:rStyle w:val="FootnoteReference"/>
        </w:rPr>
        <w:footnoteRef/>
      </w:r>
      <w:r w:rsidRPr="00AE3F9A">
        <w:t xml:space="preserve"> </w:t>
      </w:r>
      <w:r>
        <w:tab/>
      </w:r>
      <w:r w:rsidRPr="00AE3F9A">
        <w:t>Committee of Deontology</w:t>
      </w:r>
      <w:r>
        <w:t xml:space="preserve"> (2025b), </w:t>
      </w:r>
      <w:r w:rsidRPr="00AE3F9A">
        <w:t>p. 5.</w:t>
      </w:r>
    </w:p>
  </w:footnote>
  <w:footnote w:id="75">
    <w:p w14:paraId="5A48A4BE" w14:textId="77777777" w:rsidR="00E53886" w:rsidRPr="008F467B" w:rsidRDefault="00E53886" w:rsidP="00497277">
      <w:pPr>
        <w:pStyle w:val="FootnoteText"/>
      </w:pPr>
      <w:r>
        <w:rPr>
          <w:rStyle w:val="FootnoteReference"/>
        </w:rPr>
        <w:footnoteRef/>
      </w:r>
      <w:r>
        <w:t xml:space="preserve">  </w:t>
      </w:r>
      <w:r>
        <w:tab/>
      </w:r>
      <w:r w:rsidRPr="00E70AAE">
        <w:t>Whistleblower Office (</w:t>
      </w:r>
      <w:r w:rsidRPr="000934B5">
        <w:t>2026</w:t>
      </w:r>
      <w:r>
        <w:t>a</w:t>
      </w:r>
      <w:r w:rsidRPr="00E70AAE">
        <w:t>)</w:t>
      </w:r>
      <w:r>
        <w:t xml:space="preserve">, p. 18; and </w:t>
      </w:r>
      <w:r w:rsidRPr="00E70AAE">
        <w:t>Whistleblower Office (</w:t>
      </w:r>
      <w:r w:rsidRPr="000934B5">
        <w:t>2026</w:t>
      </w:r>
      <w:r>
        <w:t>b)</w:t>
      </w:r>
      <w:r w:rsidRPr="00E70AAE">
        <w:t>.</w:t>
      </w:r>
      <w:r>
        <w:t xml:space="preserve"> The competent authorities received </w:t>
      </w:r>
      <w:r w:rsidRPr="00826F4E">
        <w:t>547</w:t>
      </w:r>
      <w:r>
        <w:t xml:space="preserve"> alerts in 2024 and 737 in 2025.</w:t>
      </w:r>
    </w:p>
  </w:footnote>
  <w:footnote w:id="76">
    <w:p w14:paraId="2FE4E211" w14:textId="77777777" w:rsidR="00E53886" w:rsidRPr="00E70AAE" w:rsidRDefault="00E53886" w:rsidP="00497277">
      <w:pPr>
        <w:pStyle w:val="FootnoteText"/>
        <w:rPr>
          <w:lang w:val="hr-HR"/>
        </w:rPr>
      </w:pPr>
      <w:r w:rsidRPr="00E70AAE">
        <w:rPr>
          <w:rStyle w:val="FootnoteReference"/>
        </w:rPr>
        <w:footnoteRef/>
      </w:r>
      <w:r w:rsidRPr="00E70AAE">
        <w:t xml:space="preserve"> </w:t>
      </w:r>
      <w:r w:rsidRPr="00E70AAE">
        <w:tab/>
        <w:t>Prosecution Service (2026), p. 6. Country visit Luxembourg, Prosecution Service.</w:t>
      </w:r>
    </w:p>
  </w:footnote>
  <w:footnote w:id="77">
    <w:p w14:paraId="7AC1863B" w14:textId="77777777" w:rsidR="00E53886" w:rsidRPr="00046A9A" w:rsidRDefault="00E53886" w:rsidP="00497277">
      <w:pPr>
        <w:pStyle w:val="FootnoteText"/>
      </w:pPr>
      <w:r>
        <w:rPr>
          <w:rStyle w:val="FootnoteReference"/>
        </w:rPr>
        <w:footnoteRef/>
      </w:r>
      <w:r>
        <w:t xml:space="preserve">  </w:t>
      </w:r>
      <w:r w:rsidRPr="00316D82">
        <w:rPr>
          <w:rStyle w:val="Footnote1"/>
        </w:rPr>
        <w:t>Country visit Luxembourg, Prosecution Service.</w:t>
      </w:r>
    </w:p>
  </w:footnote>
  <w:footnote w:id="78">
    <w:p w14:paraId="6D478063" w14:textId="77777777" w:rsidR="00E53886" w:rsidRPr="001B399A" w:rsidRDefault="00E53886" w:rsidP="00497277">
      <w:pPr>
        <w:pStyle w:val="FootnoteText"/>
        <w:rPr>
          <w:lang w:val="en-IE"/>
        </w:rPr>
      </w:pPr>
      <w:r w:rsidRPr="00E70AAE">
        <w:rPr>
          <w:rStyle w:val="FootnoteReference"/>
        </w:rPr>
        <w:footnoteRef/>
      </w:r>
      <w:r w:rsidRPr="001B399A">
        <w:rPr>
          <w:lang w:val="en-IE"/>
        </w:rPr>
        <w:t xml:space="preserve"> </w:t>
      </w:r>
      <w:r w:rsidRPr="001B399A">
        <w:rPr>
          <w:lang w:val="en-IE"/>
        </w:rPr>
        <w:tab/>
        <w:t xml:space="preserve">Whistleblower Office (2026), </w:t>
      </w:r>
      <w:r>
        <w:rPr>
          <w:lang w:val="en-IE"/>
        </w:rPr>
        <w:t xml:space="preserve">Activity report, </w:t>
      </w:r>
      <w:r w:rsidRPr="001B399A">
        <w:rPr>
          <w:lang w:val="en-IE"/>
        </w:rPr>
        <w:t>pp. 6 to 9.</w:t>
      </w:r>
    </w:p>
  </w:footnote>
  <w:footnote w:id="79">
    <w:p w14:paraId="6B155903" w14:textId="77777777" w:rsidR="00E53886" w:rsidRPr="00BF5DC1" w:rsidRDefault="00E53886" w:rsidP="00497277">
      <w:pPr>
        <w:pStyle w:val="FootnoteText"/>
      </w:pPr>
      <w:r>
        <w:rPr>
          <w:rStyle w:val="FootnoteReference"/>
        </w:rPr>
        <w:footnoteRef/>
      </w:r>
      <w:r>
        <w:t xml:space="preserve">  </w:t>
      </w:r>
      <w:r>
        <w:tab/>
      </w:r>
      <w:r w:rsidRPr="00316D82">
        <w:rPr>
          <w:rStyle w:val="Footnote1"/>
        </w:rPr>
        <w:t xml:space="preserve">Country visit Luxembourg, </w:t>
      </w:r>
      <w:r>
        <w:rPr>
          <w:rStyle w:val="Footnote1"/>
        </w:rPr>
        <w:t>Chamber of commerce</w:t>
      </w:r>
      <w:r w:rsidRPr="00316D82">
        <w:rPr>
          <w:rStyle w:val="Footnote1"/>
        </w:rPr>
        <w:t>.</w:t>
      </w:r>
    </w:p>
  </w:footnote>
  <w:footnote w:id="80">
    <w:p w14:paraId="2D04BC74" w14:textId="77777777" w:rsidR="00E53886" w:rsidRPr="00981FF3" w:rsidRDefault="00E53886" w:rsidP="00497277">
      <w:pPr>
        <w:pStyle w:val="FootnoteText"/>
      </w:pPr>
      <w:r>
        <w:rPr>
          <w:rStyle w:val="FootnoteReference"/>
        </w:rPr>
        <w:footnoteRef/>
      </w:r>
      <w:r>
        <w:t xml:space="preserve">  </w:t>
      </w:r>
      <w:r>
        <w:tab/>
      </w:r>
      <w:r w:rsidRPr="00316D82">
        <w:rPr>
          <w:rStyle w:val="Footnote1"/>
        </w:rPr>
        <w:t>Country visit Luxembourg,</w:t>
      </w:r>
      <w:r>
        <w:rPr>
          <w:rStyle w:val="Footnote1"/>
        </w:rPr>
        <w:t xml:space="preserve"> Chamber of Skilled Crafts</w:t>
      </w:r>
      <w:r w:rsidRPr="00316D82">
        <w:rPr>
          <w:rStyle w:val="Footnote1"/>
        </w:rPr>
        <w:t>.</w:t>
      </w:r>
    </w:p>
  </w:footnote>
  <w:footnote w:id="81">
    <w:p w14:paraId="29BE8B6E" w14:textId="77777777" w:rsidR="00E53886" w:rsidRPr="000D11A9" w:rsidRDefault="00E53886" w:rsidP="00497277">
      <w:pPr>
        <w:pStyle w:val="FootnoteText"/>
      </w:pPr>
      <w:r>
        <w:rPr>
          <w:rStyle w:val="FootnoteReference"/>
        </w:rPr>
        <w:footnoteRef/>
      </w:r>
      <w:r>
        <w:t xml:space="preserve"> </w:t>
      </w:r>
      <w:r>
        <w:tab/>
        <w:t>Luxembourg Government (2026a), written input, p. 3.</w:t>
      </w:r>
    </w:p>
  </w:footnote>
  <w:footnote w:id="82">
    <w:p w14:paraId="0DF7B3E9" w14:textId="77777777" w:rsidR="00E53886" w:rsidRPr="00AE3F9A" w:rsidRDefault="00E53886" w:rsidP="00497277">
      <w:pPr>
        <w:pStyle w:val="FootnoteText"/>
      </w:pPr>
      <w:r w:rsidRPr="00AE3F9A">
        <w:rPr>
          <w:rStyle w:val="Footnote1"/>
          <w:vertAlign w:val="superscript"/>
          <w:lang w:val="bg-BG" w:eastAsia="bg-BG" w:bidi="bg-BG"/>
        </w:rPr>
        <w:footnoteRef/>
      </w:r>
      <w:r w:rsidRPr="00AE3F9A">
        <w:rPr>
          <w:rStyle w:val="Footnote1"/>
          <w:lang w:val="bg-BG" w:eastAsia="bg-BG" w:bidi="bg-BG"/>
        </w:rPr>
        <w:t xml:space="preserve"> </w:t>
      </w:r>
      <w:r w:rsidRPr="00B37445">
        <w:rPr>
          <w:rStyle w:val="Footnote1"/>
          <w:lang w:val="en-IE" w:eastAsia="bg-BG" w:bidi="bg-BG"/>
        </w:rPr>
        <w:tab/>
      </w:r>
      <w:r w:rsidRPr="00AE3F9A">
        <w:rPr>
          <w:rStyle w:val="Footnote1"/>
        </w:rPr>
        <w:t xml:space="preserve">Flash Eurobarometer </w:t>
      </w:r>
      <w:r w:rsidRPr="00AE3F9A">
        <w:rPr>
          <w:rStyle w:val="Footnote1"/>
          <w:lang w:val="bg-BG" w:eastAsia="bg-BG" w:bidi="bg-BG"/>
        </w:rPr>
        <w:t xml:space="preserve">557 </w:t>
      </w:r>
      <w:r w:rsidRPr="00AE3F9A">
        <w:rPr>
          <w:rStyle w:val="Footnote1"/>
        </w:rPr>
        <w:t xml:space="preserve">on Businesses’ attitudes towards corruption in the EU </w:t>
      </w:r>
      <w:r w:rsidRPr="00AE3F9A">
        <w:rPr>
          <w:rStyle w:val="Footnote1"/>
          <w:lang w:val="bg-BG" w:eastAsia="bg-BG" w:bidi="bg-BG"/>
        </w:rPr>
        <w:t xml:space="preserve">(2025). </w:t>
      </w:r>
      <w:r w:rsidRPr="00AE3F9A">
        <w:rPr>
          <w:rStyle w:val="Footnote1"/>
        </w:rPr>
        <w:t xml:space="preserve">This is </w:t>
      </w:r>
      <w:r w:rsidRPr="00AE3F9A">
        <w:rPr>
          <w:rStyle w:val="Footnote1"/>
          <w:lang w:val="bg-BG" w:eastAsia="bg-BG" w:bidi="bg-BG"/>
        </w:rPr>
        <w:t xml:space="preserve">7 </w:t>
      </w:r>
      <w:r>
        <w:rPr>
          <w:rStyle w:val="Footnote1"/>
        </w:rPr>
        <w:t>pps</w:t>
      </w:r>
      <w:r w:rsidRPr="00AE3F9A">
        <w:rPr>
          <w:rStyle w:val="Footnote1"/>
        </w:rPr>
        <w:t xml:space="preserve"> below the EU average.</w:t>
      </w:r>
    </w:p>
  </w:footnote>
  <w:footnote w:id="83">
    <w:p w14:paraId="72BDA6EA" w14:textId="4E5D334B" w:rsidR="00E53886" w:rsidRPr="004B2CF2" w:rsidRDefault="00E53886" w:rsidP="00497277">
      <w:pPr>
        <w:pStyle w:val="FootnoteText"/>
      </w:pPr>
      <w:r w:rsidRPr="00AE3F9A">
        <w:rPr>
          <w:rStyle w:val="Footnote1"/>
          <w:vertAlign w:val="superscript"/>
          <w:lang w:eastAsia="bg-BG" w:bidi="bg-BG"/>
        </w:rPr>
        <w:footnoteRef/>
      </w:r>
      <w:r w:rsidRPr="00AE3F9A">
        <w:rPr>
          <w:rStyle w:val="Footnote1"/>
          <w:lang w:eastAsia="bg-BG" w:bidi="bg-BG"/>
        </w:rPr>
        <w:t xml:space="preserve"> </w:t>
      </w:r>
      <w:r>
        <w:rPr>
          <w:rStyle w:val="Footnote1"/>
          <w:lang w:eastAsia="bg-BG" w:bidi="bg-BG"/>
        </w:rPr>
        <w:tab/>
      </w:r>
      <w:r w:rsidR="008F61B8">
        <w:rPr>
          <w:rStyle w:val="Footnote1"/>
          <w:lang w:eastAsia="bg-BG" w:bidi="bg-BG"/>
        </w:rPr>
        <w:t xml:space="preserve">Figure 59, </w:t>
      </w:r>
      <w:r w:rsidRPr="00AE3F9A">
        <w:rPr>
          <w:rStyle w:val="Footnote1"/>
          <w:lang w:eastAsia="bg-BG" w:bidi="bg-BG"/>
        </w:rPr>
        <w:t>202</w:t>
      </w:r>
      <w:r>
        <w:rPr>
          <w:rStyle w:val="Footnote1"/>
          <w:lang w:eastAsia="bg-BG" w:bidi="bg-BG"/>
        </w:rPr>
        <w:t>6</w:t>
      </w:r>
      <w:r w:rsidRPr="00AE3F9A">
        <w:rPr>
          <w:rStyle w:val="Footnote1"/>
          <w:lang w:eastAsia="bg-BG" w:bidi="bg-BG"/>
        </w:rPr>
        <w:t xml:space="preserve"> </w:t>
      </w:r>
      <w:r w:rsidRPr="00AE3F9A">
        <w:rPr>
          <w:rStyle w:val="Footnote1"/>
        </w:rPr>
        <w:t>EU Justice Scoreboard.</w:t>
      </w:r>
    </w:p>
  </w:footnote>
  <w:footnote w:id="84">
    <w:p w14:paraId="70B964D4" w14:textId="77777777" w:rsidR="00E53886" w:rsidRPr="00D5419F" w:rsidRDefault="00E53886" w:rsidP="00497277">
      <w:pPr>
        <w:pStyle w:val="FootnoteText"/>
      </w:pPr>
      <w:r>
        <w:rPr>
          <w:rStyle w:val="FootnoteReference"/>
        </w:rPr>
        <w:footnoteRef/>
      </w:r>
      <w:r>
        <w:t xml:space="preserve"> </w:t>
      </w:r>
      <w:r>
        <w:tab/>
      </w:r>
      <w:r w:rsidRPr="00705047">
        <w:rPr>
          <w:lang w:val="en-IE"/>
        </w:rPr>
        <w:t>Country visit Luxembourg</w:t>
      </w:r>
      <w:r>
        <w:rPr>
          <w:lang w:val="en-IE"/>
        </w:rPr>
        <w:t xml:space="preserve">, </w:t>
      </w:r>
      <w:r>
        <w:t>Ministry of Justice and COPRECO</w:t>
      </w:r>
      <w:r w:rsidRPr="002D4D37">
        <w:t>.</w:t>
      </w:r>
    </w:p>
  </w:footnote>
  <w:footnote w:id="85">
    <w:p w14:paraId="135E02BE" w14:textId="77777777" w:rsidR="00E53886" w:rsidRPr="00AE3F9A" w:rsidRDefault="00E53886" w:rsidP="00497277">
      <w:pPr>
        <w:pStyle w:val="FootnoteText"/>
        <w:rPr>
          <w:lang w:val="hr-HR"/>
        </w:rPr>
      </w:pPr>
      <w:r w:rsidRPr="00E70AAE">
        <w:rPr>
          <w:rStyle w:val="FootnoteReference"/>
        </w:rPr>
        <w:footnoteRef/>
      </w:r>
      <w:r w:rsidRPr="00E70AAE">
        <w:t xml:space="preserve"> </w:t>
      </w:r>
      <w:r w:rsidRPr="00E70AAE">
        <w:tab/>
        <w:t>Prosecution Service (2026), p. 5. Country visit Luxembourg, Prosecution Service.</w:t>
      </w:r>
    </w:p>
  </w:footnote>
  <w:footnote w:id="86">
    <w:p w14:paraId="189BF1E4" w14:textId="77777777" w:rsidR="00E53886" w:rsidRPr="00705047" w:rsidRDefault="00E53886" w:rsidP="00497277">
      <w:pPr>
        <w:pStyle w:val="FootnoteText"/>
        <w:rPr>
          <w:lang w:val="en-IE"/>
        </w:rPr>
      </w:pPr>
      <w:r w:rsidRPr="00705047">
        <w:rPr>
          <w:rStyle w:val="FootnoteReference"/>
        </w:rPr>
        <w:footnoteRef/>
      </w:r>
      <w:r w:rsidRPr="00705047">
        <w:rPr>
          <w:lang w:val="en-IE"/>
        </w:rPr>
        <w:t xml:space="preserve"> </w:t>
      </w:r>
      <w:r>
        <w:rPr>
          <w:lang w:val="en-IE"/>
        </w:rPr>
        <w:tab/>
      </w:r>
      <w:r w:rsidRPr="00933766">
        <w:rPr>
          <w:lang w:val="en-IE"/>
        </w:rPr>
        <w:t>Chamber of Deputies (2025</w:t>
      </w:r>
      <w:r>
        <w:rPr>
          <w:lang w:val="en-IE"/>
        </w:rPr>
        <w:t>c</w:t>
      </w:r>
      <w:r w:rsidRPr="00933766">
        <w:rPr>
          <w:lang w:val="en-IE"/>
        </w:rPr>
        <w:t xml:space="preserve">). </w:t>
      </w:r>
      <w:r w:rsidRPr="00705047">
        <w:rPr>
          <w:lang w:val="en-IE"/>
        </w:rPr>
        <w:t xml:space="preserve">The </w:t>
      </w:r>
      <w:r>
        <w:rPr>
          <w:lang w:val="en-IE"/>
        </w:rPr>
        <w:t xml:space="preserve">draft law </w:t>
      </w:r>
      <w:r w:rsidRPr="00705047">
        <w:rPr>
          <w:lang w:val="en-IE"/>
        </w:rPr>
        <w:t>was tabled before the Chamber of Deputies on 30 September 2025 and</w:t>
      </w:r>
      <w:r w:rsidRPr="00705047">
        <w:t xml:space="preserve"> </w:t>
      </w:r>
      <w:r w:rsidRPr="00C71674">
        <w:rPr>
          <w:lang w:val="en-IE"/>
        </w:rPr>
        <w:t>is under examination, and the authorities are awaiting the opinions requested from the relevant advisory bodies before the parliamentary discussions can proceed.</w:t>
      </w:r>
    </w:p>
  </w:footnote>
  <w:footnote w:id="87">
    <w:p w14:paraId="319B7A84" w14:textId="1CBEB4FD" w:rsidR="00E53886" w:rsidRPr="00D007DA" w:rsidRDefault="00E53886" w:rsidP="00497277">
      <w:pPr>
        <w:pStyle w:val="FootnoteText"/>
        <w:rPr>
          <w:lang w:val="en-IE"/>
        </w:rPr>
      </w:pPr>
      <w:r>
        <w:rPr>
          <w:rStyle w:val="FootnoteReference"/>
        </w:rPr>
        <w:footnoteRef/>
      </w:r>
      <w:r>
        <w:t xml:space="preserve"> </w:t>
      </w:r>
      <w:r w:rsidR="005B55D3">
        <w:tab/>
      </w:r>
      <w:r w:rsidRPr="00262B22">
        <w:t>The reform also provides for responsibilities relating to the implementation of Regulation (EU) 2024/900 on the transparency and targeting of political advertising.</w:t>
      </w:r>
    </w:p>
  </w:footnote>
  <w:footnote w:id="88">
    <w:p w14:paraId="34B7E6C1" w14:textId="433CB369" w:rsidR="00E53886" w:rsidRPr="00705047" w:rsidRDefault="00E53886" w:rsidP="00497277">
      <w:pPr>
        <w:pStyle w:val="FootnoteText"/>
        <w:rPr>
          <w:lang w:val="en-IE"/>
        </w:rPr>
      </w:pPr>
      <w:r w:rsidRPr="00705047">
        <w:rPr>
          <w:rStyle w:val="FootnoteReference"/>
        </w:rPr>
        <w:footnoteRef/>
      </w:r>
      <w:r w:rsidRPr="00705047">
        <w:t xml:space="preserve"> </w:t>
      </w:r>
      <w:r>
        <w:tab/>
      </w:r>
      <w:r w:rsidRPr="005F7AC8">
        <w:rPr>
          <w:lang w:val="en-IE"/>
        </w:rPr>
        <w:t>Luxembourg Government (2026</w:t>
      </w:r>
      <w:r w:rsidRPr="3454176C">
        <w:rPr>
          <w:lang w:val="en-IE"/>
        </w:rPr>
        <w:t>a</w:t>
      </w:r>
      <w:r w:rsidRPr="005F7AC8">
        <w:rPr>
          <w:lang w:val="en-IE"/>
        </w:rPr>
        <w:t>), p</w:t>
      </w:r>
      <w:r w:rsidRPr="3454176C">
        <w:rPr>
          <w:lang w:val="en-IE"/>
        </w:rPr>
        <w:t>p</w:t>
      </w:r>
      <w:r w:rsidRPr="005F7AC8">
        <w:rPr>
          <w:lang w:val="en-IE"/>
        </w:rPr>
        <w:t>. 15-16.</w:t>
      </w:r>
    </w:p>
  </w:footnote>
  <w:footnote w:id="89">
    <w:p w14:paraId="0E1C5AED" w14:textId="77777777" w:rsidR="00E53886" w:rsidRPr="00705047" w:rsidRDefault="00E53886" w:rsidP="00497277">
      <w:pPr>
        <w:pStyle w:val="FootnoteText"/>
        <w:rPr>
          <w:lang w:val="en-IE"/>
        </w:rPr>
      </w:pPr>
      <w:r w:rsidRPr="00705047">
        <w:rPr>
          <w:rStyle w:val="FootnoteReference"/>
        </w:rPr>
        <w:footnoteRef/>
      </w:r>
      <w:r w:rsidRPr="00705047">
        <w:rPr>
          <w:lang w:val="en-IE"/>
        </w:rPr>
        <w:t xml:space="preserve"> </w:t>
      </w:r>
      <w:r>
        <w:rPr>
          <w:lang w:val="en-IE"/>
        </w:rPr>
        <w:tab/>
      </w:r>
      <w:r w:rsidRPr="00705047">
        <w:rPr>
          <w:lang w:val="en-IE"/>
        </w:rPr>
        <w:t>Country visit Luxembourg, ALIA</w:t>
      </w:r>
      <w:r>
        <w:rPr>
          <w:lang w:val="en-IE"/>
        </w:rPr>
        <w:t>; ALIA (2026)</w:t>
      </w:r>
      <w:r w:rsidRPr="00705047">
        <w:rPr>
          <w:lang w:val="en-IE"/>
        </w:rPr>
        <w:t>.</w:t>
      </w:r>
    </w:p>
  </w:footnote>
  <w:footnote w:id="90">
    <w:p w14:paraId="70D8DD48" w14:textId="77777777" w:rsidR="00E53886" w:rsidRPr="00705047" w:rsidRDefault="00E53886" w:rsidP="00497277">
      <w:pPr>
        <w:pStyle w:val="FootnoteText"/>
        <w:rPr>
          <w:lang w:val="en-IE"/>
        </w:rPr>
      </w:pPr>
      <w:r w:rsidRPr="00705047">
        <w:rPr>
          <w:rStyle w:val="FootnoteReference"/>
        </w:rPr>
        <w:footnoteRef/>
      </w:r>
      <w:r w:rsidRPr="00705047">
        <w:rPr>
          <w:lang w:val="en-IE"/>
        </w:rPr>
        <w:t xml:space="preserve"> </w:t>
      </w:r>
      <w:r>
        <w:rPr>
          <w:lang w:val="en-IE"/>
        </w:rPr>
        <w:tab/>
      </w:r>
      <w:r w:rsidRPr="00705047">
        <w:rPr>
          <w:lang w:val="en-IE"/>
        </w:rPr>
        <w:t>Previously, the authority was funded EUR 1.8</w:t>
      </w:r>
      <w:r>
        <w:rPr>
          <w:lang w:val="en-IE"/>
        </w:rPr>
        <w:t>5</w:t>
      </w:r>
      <w:r w:rsidRPr="00705047">
        <w:rPr>
          <w:lang w:val="en-IE"/>
        </w:rPr>
        <w:t xml:space="preserve"> million from the State and EUR 800 000 from sectoral taxes and operated with around 15 staff members; under the new structure, it will receive around EUR 3.5</w:t>
      </w:r>
      <w:r>
        <w:rPr>
          <w:lang w:val="en-IE"/>
        </w:rPr>
        <w:t>7</w:t>
      </w:r>
      <w:r w:rsidRPr="00705047">
        <w:rPr>
          <w:lang w:val="en-IE"/>
        </w:rPr>
        <w:t xml:space="preserve"> million in State funding, with sectoral taxes abolished, and five additional staff members are planned to be recruited, including two deputy directors</w:t>
      </w:r>
      <w:r w:rsidRPr="00705047">
        <w:t xml:space="preserve"> (Country visit Luxembourg, ALIA</w:t>
      </w:r>
      <w:r>
        <w:t>, and Luxembourg Government (2026a), written input, p. 16</w:t>
      </w:r>
      <w:r w:rsidRPr="00705047">
        <w:t>).</w:t>
      </w:r>
    </w:p>
  </w:footnote>
  <w:footnote w:id="91">
    <w:p w14:paraId="4AAE1349" w14:textId="77777777" w:rsidR="00E53886" w:rsidRPr="00705047" w:rsidRDefault="00E53886" w:rsidP="00497277">
      <w:pPr>
        <w:pStyle w:val="FootnoteText"/>
        <w:rPr>
          <w:lang w:val="en-IE"/>
        </w:rPr>
      </w:pPr>
      <w:r w:rsidRPr="00705047">
        <w:rPr>
          <w:rStyle w:val="FootnoteReference"/>
        </w:rPr>
        <w:footnoteRef/>
      </w:r>
      <w:r w:rsidRPr="00705047">
        <w:t xml:space="preserve"> </w:t>
      </w:r>
      <w:r>
        <w:tab/>
      </w:r>
      <w:r w:rsidRPr="00705047">
        <w:rPr>
          <w:lang w:val="en-IE"/>
        </w:rPr>
        <w:t>Regulation (EU) 2024/1083 of the European Parliament and of the Council of 11 April 2024 establishing a common framework for media services in the internal market and amending Directive 2010/13/EU (European Media Freedom Act) (Text with EEA relevance)</w:t>
      </w:r>
      <w:r w:rsidRPr="00705047">
        <w:t>.</w:t>
      </w:r>
    </w:p>
  </w:footnote>
  <w:footnote w:id="92">
    <w:p w14:paraId="1326A260" w14:textId="77777777" w:rsidR="00E53886" w:rsidRPr="000B609E" w:rsidRDefault="00E53886" w:rsidP="00497277">
      <w:pPr>
        <w:pStyle w:val="FootnoteText"/>
        <w:rPr>
          <w:lang w:val="en-IE"/>
        </w:rPr>
      </w:pPr>
      <w:r w:rsidRPr="00705047">
        <w:rPr>
          <w:rStyle w:val="FootnoteReference"/>
        </w:rPr>
        <w:footnoteRef/>
      </w:r>
      <w:r w:rsidRPr="00705047">
        <w:t xml:space="preserve"> </w:t>
      </w:r>
      <w:r>
        <w:tab/>
      </w:r>
      <w:r w:rsidRPr="00705047">
        <w:rPr>
          <w:lang w:val="en-IE"/>
        </w:rPr>
        <w:t>Regulation (EU) 2024/900 of the European Parliament and of the Council of 13 March 2024 on the transparency and targeting of political advertising (Text with EEA relevance)</w:t>
      </w:r>
      <w:r w:rsidRPr="00705047">
        <w:t>.</w:t>
      </w:r>
    </w:p>
  </w:footnote>
  <w:footnote w:id="93">
    <w:p w14:paraId="4C3001F5" w14:textId="7F742E70" w:rsidR="00E53886" w:rsidRPr="00933766" w:rsidRDefault="00E53886" w:rsidP="00497277">
      <w:pPr>
        <w:pStyle w:val="FootnoteText"/>
        <w:rPr>
          <w:lang w:val="en-IE"/>
        </w:rPr>
      </w:pPr>
      <w:r>
        <w:rPr>
          <w:rStyle w:val="FootnoteReference"/>
        </w:rPr>
        <w:footnoteRef/>
      </w:r>
      <w:r w:rsidRPr="00EC4FC6">
        <w:rPr>
          <w:lang w:val="en-IE"/>
        </w:rPr>
        <w:t xml:space="preserve"> </w:t>
      </w:r>
      <w:r>
        <w:rPr>
          <w:lang w:val="en-IE"/>
        </w:rPr>
        <w:tab/>
      </w:r>
      <w:r w:rsidRPr="00EC4FC6">
        <w:rPr>
          <w:lang w:val="en-IE"/>
        </w:rPr>
        <w:t xml:space="preserve">The Government indicates that provisions relating to media market concentration and cooperation between ALIA and the competition authority will be addressed in a separate legislative initiative, currently under preparation. </w:t>
      </w:r>
      <w:r w:rsidRPr="00933766">
        <w:rPr>
          <w:lang w:val="en-IE"/>
        </w:rPr>
        <w:t>Luxembourg Government (2026</w:t>
      </w:r>
      <w:r>
        <w:rPr>
          <w:lang w:val="en-IE"/>
        </w:rPr>
        <w:t>a</w:t>
      </w:r>
      <w:r w:rsidRPr="00933766">
        <w:rPr>
          <w:lang w:val="en-IE"/>
        </w:rPr>
        <w:t xml:space="preserve">), </w:t>
      </w:r>
      <w:r>
        <w:t xml:space="preserve">written input, </w:t>
      </w:r>
      <w:r w:rsidRPr="00933766">
        <w:rPr>
          <w:lang w:val="en-IE"/>
        </w:rPr>
        <w:t>p.</w:t>
      </w:r>
      <w:r w:rsidR="00497277">
        <w:rPr>
          <w:lang w:val="en-IE"/>
        </w:rPr>
        <w:t xml:space="preserve"> </w:t>
      </w:r>
      <w:r w:rsidRPr="00933766">
        <w:rPr>
          <w:lang w:val="en-IE"/>
        </w:rPr>
        <w:t>16.</w:t>
      </w:r>
    </w:p>
  </w:footnote>
  <w:footnote w:id="94">
    <w:p w14:paraId="68C7FFF9" w14:textId="77777777" w:rsidR="00E53886" w:rsidRPr="00933766" w:rsidRDefault="00E53886" w:rsidP="00497277">
      <w:pPr>
        <w:pStyle w:val="FootnoteText"/>
        <w:rPr>
          <w:lang w:val="en-IE"/>
        </w:rPr>
      </w:pPr>
      <w:r>
        <w:rPr>
          <w:rStyle w:val="FootnoteReference"/>
        </w:rPr>
        <w:footnoteRef/>
      </w:r>
      <w:r w:rsidRPr="00933766">
        <w:rPr>
          <w:lang w:val="en-IE"/>
        </w:rPr>
        <w:t xml:space="preserve"> </w:t>
      </w:r>
      <w:r w:rsidRPr="00933766">
        <w:rPr>
          <w:lang w:val="en-IE"/>
        </w:rPr>
        <w:tab/>
        <w:t>Chamber of Deputies (2025</w:t>
      </w:r>
      <w:r>
        <w:rPr>
          <w:lang w:val="en-IE"/>
        </w:rPr>
        <w:t>c</w:t>
      </w:r>
      <w:r w:rsidRPr="00933766">
        <w:rPr>
          <w:lang w:val="en-IE"/>
        </w:rPr>
        <w:t>).</w:t>
      </w:r>
    </w:p>
  </w:footnote>
  <w:footnote w:id="95">
    <w:p w14:paraId="5BB3E9D8" w14:textId="77777777" w:rsidR="00E53886" w:rsidRPr="00B86F71" w:rsidRDefault="00E53886" w:rsidP="00497277">
      <w:pPr>
        <w:pStyle w:val="FootnoteText"/>
      </w:pPr>
      <w:r>
        <w:rPr>
          <w:rStyle w:val="FootnoteReference"/>
        </w:rPr>
        <w:footnoteRef/>
      </w:r>
      <w:r>
        <w:t xml:space="preserve"> </w:t>
      </w:r>
      <w:r>
        <w:tab/>
      </w:r>
      <w:r w:rsidRPr="00266857">
        <w:t>Country visit Luxembourg, Press Council.</w:t>
      </w:r>
    </w:p>
  </w:footnote>
  <w:footnote w:id="96">
    <w:p w14:paraId="201EDD03" w14:textId="77777777" w:rsidR="00E53886" w:rsidRPr="00266857" w:rsidRDefault="00E53886" w:rsidP="00497277">
      <w:pPr>
        <w:pStyle w:val="FootnoteText"/>
        <w:rPr>
          <w:lang w:val="en-IE"/>
        </w:rPr>
      </w:pPr>
      <w:r>
        <w:rPr>
          <w:rStyle w:val="FootnoteReference"/>
        </w:rPr>
        <w:footnoteRef/>
      </w:r>
      <w:r>
        <w:t xml:space="preserve"> </w:t>
      </w:r>
      <w:r>
        <w:tab/>
      </w:r>
      <w:r w:rsidRPr="00266857">
        <w:t>Country visit Luxembourg, Press Council.</w:t>
      </w:r>
    </w:p>
  </w:footnote>
  <w:footnote w:id="97">
    <w:p w14:paraId="5B1171E3" w14:textId="77777777" w:rsidR="00E53886" w:rsidRPr="00266857" w:rsidRDefault="00E53886" w:rsidP="00497277">
      <w:pPr>
        <w:pStyle w:val="FootnoteText"/>
        <w:rPr>
          <w:lang w:val="en-IE"/>
        </w:rPr>
      </w:pPr>
      <w:r>
        <w:rPr>
          <w:rStyle w:val="FootnoteReference"/>
        </w:rPr>
        <w:footnoteRef/>
      </w:r>
      <w:r w:rsidRPr="00266857">
        <w:rPr>
          <w:lang w:val="en-IE"/>
        </w:rPr>
        <w:t xml:space="preserve"> </w:t>
      </w:r>
      <w:r>
        <w:rPr>
          <w:lang w:val="en-IE"/>
        </w:rPr>
        <w:tab/>
      </w:r>
      <w:r w:rsidRPr="00E34D21">
        <w:rPr>
          <w:lang w:val="en-IE"/>
        </w:rPr>
        <w:t>Chamber of Deputies (2025</w:t>
      </w:r>
      <w:r>
        <w:rPr>
          <w:lang w:val="en-IE"/>
        </w:rPr>
        <w:t>c</w:t>
      </w:r>
      <w:r w:rsidRPr="00E34D21">
        <w:rPr>
          <w:lang w:val="en-IE"/>
        </w:rPr>
        <w:t>)</w:t>
      </w:r>
      <w:r>
        <w:rPr>
          <w:lang w:val="en-IE"/>
        </w:rPr>
        <w:t xml:space="preserve">, </w:t>
      </w:r>
      <w:r w:rsidRPr="00266857">
        <w:rPr>
          <w:lang w:val="en-IE"/>
        </w:rPr>
        <w:t>Opinion of the Press Council on the Draft Media Law</w:t>
      </w:r>
      <w:r w:rsidRPr="00266857">
        <w:t xml:space="preserve"> dated 9 January 2026 and published on the website of La Chambre des Députés Grand-Duché du Luxembourg.</w:t>
      </w:r>
    </w:p>
  </w:footnote>
  <w:footnote w:id="98">
    <w:p w14:paraId="474AFB57" w14:textId="77777777" w:rsidR="00E53886" w:rsidRPr="00933766" w:rsidRDefault="00E53886" w:rsidP="00497277">
      <w:pPr>
        <w:pStyle w:val="FootnoteText"/>
        <w:rPr>
          <w:lang w:val="en-IE"/>
        </w:rPr>
      </w:pPr>
      <w:r>
        <w:rPr>
          <w:rStyle w:val="FootnoteReference"/>
        </w:rPr>
        <w:footnoteRef/>
      </w:r>
      <w:r w:rsidRPr="00933766">
        <w:rPr>
          <w:lang w:val="en-IE"/>
        </w:rPr>
        <w:t xml:space="preserve"> </w:t>
      </w:r>
      <w:r w:rsidRPr="00933766">
        <w:rPr>
          <w:lang w:val="en-IE"/>
        </w:rPr>
        <w:tab/>
        <w:t>Chamber of Deputies (2024</w:t>
      </w:r>
      <w:r>
        <w:rPr>
          <w:lang w:val="en-IE"/>
        </w:rPr>
        <w:t>b</w:t>
      </w:r>
      <w:r w:rsidRPr="00933766">
        <w:rPr>
          <w:lang w:val="en-IE"/>
        </w:rPr>
        <w:t>)</w:t>
      </w:r>
      <w:r w:rsidRPr="00933766">
        <w:rPr>
          <w:i/>
          <w:lang w:val="en-IE"/>
        </w:rPr>
        <w:t>.</w:t>
      </w:r>
    </w:p>
  </w:footnote>
  <w:footnote w:id="99">
    <w:p w14:paraId="22990556" w14:textId="42122821" w:rsidR="00E53886" w:rsidRPr="00933766" w:rsidRDefault="00E53886" w:rsidP="00497277">
      <w:pPr>
        <w:pStyle w:val="FootnoteText"/>
        <w:rPr>
          <w:lang w:val="en-IE"/>
        </w:rPr>
      </w:pPr>
      <w:r>
        <w:rPr>
          <w:rStyle w:val="FootnoteReference"/>
        </w:rPr>
        <w:footnoteRef/>
      </w:r>
      <w:r w:rsidRPr="00933766">
        <w:rPr>
          <w:lang w:val="en-IE"/>
        </w:rPr>
        <w:t xml:space="preserve"> </w:t>
      </w:r>
      <w:r w:rsidRPr="00933766">
        <w:rPr>
          <w:lang w:val="en-IE"/>
        </w:rPr>
        <w:tab/>
        <w:t>Luxembourg Government (2026</w:t>
      </w:r>
      <w:r>
        <w:rPr>
          <w:lang w:val="en-IE"/>
        </w:rPr>
        <w:t>a</w:t>
      </w:r>
      <w:r w:rsidRPr="00933766">
        <w:rPr>
          <w:lang w:val="en-IE"/>
        </w:rPr>
        <w:t>), p. 12.</w:t>
      </w:r>
    </w:p>
  </w:footnote>
  <w:footnote w:id="100">
    <w:p w14:paraId="636E67B7" w14:textId="77777777" w:rsidR="00E53886" w:rsidRPr="00933766" w:rsidRDefault="00E53886" w:rsidP="00497277">
      <w:pPr>
        <w:pStyle w:val="FootnoteText"/>
        <w:rPr>
          <w:lang w:val="en-IE"/>
        </w:rPr>
      </w:pPr>
      <w:r w:rsidRPr="00705047">
        <w:rPr>
          <w:rStyle w:val="FootnoteReference"/>
          <w:rFonts w:asciiTheme="minorHAnsi" w:hAnsiTheme="minorHAnsi"/>
        </w:rPr>
        <w:footnoteRef/>
      </w:r>
      <w:r w:rsidRPr="00933766">
        <w:rPr>
          <w:lang w:val="en-IE"/>
        </w:rPr>
        <w:t xml:space="preserve"> </w:t>
      </w:r>
      <w:r w:rsidRPr="00933766">
        <w:rPr>
          <w:lang w:val="en-IE"/>
        </w:rPr>
        <w:tab/>
        <w:t>Country visit Luxembourg, ALJP,</w:t>
      </w:r>
      <w:r>
        <w:rPr>
          <w:lang w:val="en-IE"/>
        </w:rPr>
        <w:t xml:space="preserve"> </w:t>
      </w:r>
      <w:r w:rsidRPr="00933766">
        <w:rPr>
          <w:lang w:val="en-IE"/>
        </w:rPr>
        <w:t>ALMI.</w:t>
      </w:r>
    </w:p>
  </w:footnote>
  <w:footnote w:id="101">
    <w:p w14:paraId="1D8DCF85" w14:textId="77777777" w:rsidR="00E53886" w:rsidRPr="00F77583" w:rsidRDefault="00E53886" w:rsidP="00497277">
      <w:pPr>
        <w:pStyle w:val="FootnoteText"/>
        <w:rPr>
          <w:lang w:val="en-IE"/>
        </w:rPr>
      </w:pPr>
      <w:r w:rsidRPr="00705047">
        <w:rPr>
          <w:rStyle w:val="FootnoteReference"/>
          <w:rFonts w:asciiTheme="minorHAnsi" w:hAnsiTheme="minorHAnsi"/>
        </w:rPr>
        <w:footnoteRef/>
      </w:r>
      <w:r w:rsidRPr="00F77583">
        <w:rPr>
          <w:lang w:val="en-IE"/>
        </w:rPr>
        <w:t xml:space="preserve"> </w:t>
      </w:r>
      <w:r>
        <w:rPr>
          <w:lang w:val="en-IE"/>
        </w:rPr>
        <w:tab/>
      </w:r>
      <w:r w:rsidRPr="00F77583">
        <w:rPr>
          <w:lang w:val="en-IE"/>
        </w:rPr>
        <w:t>Country visit Luxembourg, Press Council, ALJP, ALMI.</w:t>
      </w:r>
    </w:p>
  </w:footnote>
  <w:footnote w:id="102">
    <w:p w14:paraId="645ED457" w14:textId="77777777" w:rsidR="00E53886" w:rsidRDefault="00E53886" w:rsidP="00497277">
      <w:pPr>
        <w:pStyle w:val="FootnoteText"/>
        <w:rPr>
          <w:lang w:val="en-IE"/>
        </w:rPr>
      </w:pPr>
      <w:r w:rsidRPr="008377FA">
        <w:rPr>
          <w:vertAlign w:val="superscript"/>
        </w:rPr>
        <w:footnoteRef/>
      </w:r>
      <w:r>
        <w:t xml:space="preserve"> </w:t>
      </w:r>
      <w:r>
        <w:tab/>
        <w:t xml:space="preserve">Article 36 of the draft law </w:t>
      </w:r>
      <w:r w:rsidRPr="3A21A451">
        <w:t>No. 8625.</w:t>
      </w:r>
    </w:p>
  </w:footnote>
  <w:footnote w:id="103">
    <w:p w14:paraId="25050232" w14:textId="77777777" w:rsidR="00E53886" w:rsidRPr="00F15A2F" w:rsidRDefault="00E53886" w:rsidP="00497277">
      <w:pPr>
        <w:pStyle w:val="FootnoteText"/>
        <w:rPr>
          <w:lang w:val="en-IE"/>
        </w:rPr>
      </w:pPr>
      <w:r>
        <w:rPr>
          <w:rStyle w:val="FootnoteReference"/>
        </w:rPr>
        <w:footnoteRef/>
      </w:r>
      <w:r>
        <w:t xml:space="preserve"> </w:t>
      </w:r>
      <w:r>
        <w:tab/>
      </w:r>
      <w:r w:rsidRPr="00F15A2F">
        <w:t>E</w:t>
      </w:r>
      <w:r w:rsidRPr="00F15A2F">
        <w:rPr>
          <w:lang w:val="en-IE"/>
        </w:rPr>
        <w:t>xplanatory memorandum</w:t>
      </w:r>
      <w:r w:rsidRPr="00F15A2F">
        <w:t xml:space="preserve"> of the draft law No. 8625</w:t>
      </w:r>
    </w:p>
  </w:footnote>
  <w:footnote w:id="104">
    <w:p w14:paraId="0C60F18B" w14:textId="04158047" w:rsidR="00840704" w:rsidRPr="00385C31" w:rsidRDefault="00840704">
      <w:pPr>
        <w:pStyle w:val="FootnoteText"/>
        <w:rPr>
          <w:lang w:val="en-IE"/>
        </w:rPr>
      </w:pPr>
      <w:r>
        <w:rPr>
          <w:rStyle w:val="FootnoteReference"/>
        </w:rPr>
        <w:footnoteRef/>
      </w:r>
      <w:r>
        <w:tab/>
      </w:r>
      <w:r w:rsidR="002E76FB" w:rsidRPr="002E76FB">
        <w:t>Luxembourg Government (2023)</w:t>
      </w:r>
      <w:r w:rsidR="002E76FB">
        <w:t>.</w:t>
      </w:r>
    </w:p>
  </w:footnote>
  <w:footnote w:id="105">
    <w:p w14:paraId="4C3203EB" w14:textId="4D2DCA89" w:rsidR="00E53886" w:rsidRPr="00CF7A9A" w:rsidRDefault="00E53886" w:rsidP="00497277">
      <w:pPr>
        <w:pStyle w:val="FootnoteText"/>
        <w:rPr>
          <w:lang w:val="en-IE"/>
        </w:rPr>
      </w:pPr>
      <w:r w:rsidRPr="00CF7A9A">
        <w:rPr>
          <w:rStyle w:val="FootnoteReference"/>
          <w:rFonts w:asciiTheme="minorHAnsi" w:hAnsiTheme="minorHAnsi"/>
        </w:rPr>
        <w:footnoteRef/>
      </w:r>
      <w:r w:rsidRPr="00CF7A9A">
        <w:rPr>
          <w:rStyle w:val="FootnoteReference"/>
          <w:rFonts w:asciiTheme="minorHAnsi" w:hAnsiTheme="minorHAnsi"/>
          <w:lang w:val="en-IE"/>
        </w:rPr>
        <w:t xml:space="preserve"> </w:t>
      </w:r>
      <w:r>
        <w:rPr>
          <w:rFonts w:asciiTheme="minorHAnsi" w:hAnsiTheme="minorHAnsi"/>
          <w:lang w:val="en-IE"/>
        </w:rPr>
        <w:tab/>
      </w:r>
      <w:r w:rsidRPr="00CF7A9A">
        <w:rPr>
          <w:lang w:val="en-IE"/>
        </w:rPr>
        <w:t>Country visit Luxembourg, Radio 100</w:t>
      </w:r>
      <w:r w:rsidR="00F0263A">
        <w:rPr>
          <w:lang w:val="en-IE"/>
        </w:rPr>
        <w:t>,</w:t>
      </w:r>
      <w:r w:rsidRPr="00CF7A9A">
        <w:rPr>
          <w:lang w:val="en-IE"/>
        </w:rPr>
        <w:t>7</w:t>
      </w:r>
    </w:p>
  </w:footnote>
  <w:footnote w:id="106">
    <w:p w14:paraId="35CD1A59" w14:textId="77777777" w:rsidR="00E53886" w:rsidRPr="00100742" w:rsidRDefault="00E53886" w:rsidP="00497277">
      <w:pPr>
        <w:pStyle w:val="FootnoteText"/>
        <w:rPr>
          <w:lang w:val="en-IE"/>
        </w:rPr>
      </w:pPr>
      <w:r w:rsidRPr="005B3BF2">
        <w:rPr>
          <w:rStyle w:val="FootnoteReference"/>
        </w:rPr>
        <w:footnoteRef/>
      </w:r>
      <w:r w:rsidRPr="005B3BF2">
        <w:t xml:space="preserve"> </w:t>
      </w:r>
      <w:r w:rsidRPr="005B3BF2">
        <w:tab/>
      </w:r>
      <w:r w:rsidRPr="00933766">
        <w:t>2026 Media Pluralism Monitor, country report for Luxembourg, p. 35</w:t>
      </w:r>
    </w:p>
  </w:footnote>
  <w:footnote w:id="107">
    <w:p w14:paraId="1878A938" w14:textId="77777777" w:rsidR="00E53886" w:rsidRPr="00927310" w:rsidRDefault="00E53886" w:rsidP="00497277">
      <w:pPr>
        <w:pStyle w:val="FootnoteText"/>
        <w:rPr>
          <w:i/>
          <w:iCs/>
        </w:rPr>
      </w:pPr>
      <w:r w:rsidRPr="00A70B9B">
        <w:rPr>
          <w:rStyle w:val="FootnoteReference"/>
        </w:rPr>
        <w:footnoteRef/>
      </w:r>
      <w:r w:rsidRPr="00A70B9B">
        <w:rPr>
          <w:lang w:val="en-IE"/>
        </w:rPr>
        <w:t xml:space="preserve"> </w:t>
      </w:r>
      <w:r>
        <w:rPr>
          <w:lang w:val="en-IE"/>
        </w:rPr>
        <w:tab/>
      </w:r>
      <w:r w:rsidRPr="00927310">
        <w:rPr>
          <w:lang w:val="en-IE"/>
        </w:rPr>
        <w:t>T</w:t>
      </w:r>
      <w:r w:rsidRPr="00A70B9B">
        <w:rPr>
          <w:lang w:val="en-IE"/>
        </w:rPr>
        <w:t>he 2025 Rule of Law Report had recommended Luxembourg to ‘Complete the reform of the legal framework for the disclosure of official documents, taking into account European standards on access to official documents’, Rule of Law report 2025, p. 2.</w:t>
      </w:r>
    </w:p>
  </w:footnote>
  <w:footnote w:id="108">
    <w:p w14:paraId="6800777F" w14:textId="4DBFF4B3" w:rsidR="00E53886" w:rsidRPr="00F77583" w:rsidRDefault="00E53886" w:rsidP="00497277">
      <w:pPr>
        <w:pStyle w:val="FootnoteText"/>
        <w:rPr>
          <w:lang w:val="en-IE"/>
        </w:rPr>
      </w:pPr>
      <w:r>
        <w:rPr>
          <w:rStyle w:val="FootnoteReference"/>
        </w:rPr>
        <w:footnoteRef/>
      </w:r>
      <w:r>
        <w:t xml:space="preserve"> </w:t>
      </w:r>
      <w:r>
        <w:tab/>
      </w:r>
      <w:r w:rsidRPr="00705047">
        <w:rPr>
          <w:lang w:val="en-IE"/>
        </w:rPr>
        <w:t>Luxembourg Government (2026</w:t>
      </w:r>
      <w:r>
        <w:rPr>
          <w:lang w:val="en-IE"/>
        </w:rPr>
        <w:t>a</w:t>
      </w:r>
      <w:r w:rsidRPr="00705047">
        <w:rPr>
          <w:lang w:val="en-IE"/>
        </w:rPr>
        <w:t xml:space="preserve">), </w:t>
      </w:r>
      <w:r>
        <w:rPr>
          <w:lang w:val="en-IE"/>
        </w:rPr>
        <w:t>p</w:t>
      </w:r>
      <w:r w:rsidRPr="00705047">
        <w:rPr>
          <w:lang w:val="en-IE"/>
        </w:rPr>
        <w:t xml:space="preserve">p. </w:t>
      </w:r>
      <w:r>
        <w:t>10-</w:t>
      </w:r>
      <w:r w:rsidRPr="00705047">
        <w:rPr>
          <w:lang w:val="en-IE"/>
        </w:rPr>
        <w:t>12.</w:t>
      </w:r>
    </w:p>
  </w:footnote>
  <w:footnote w:id="109">
    <w:p w14:paraId="74F53F24" w14:textId="77777777" w:rsidR="00E53886" w:rsidRPr="00F77583" w:rsidRDefault="00E53886" w:rsidP="00497277">
      <w:pPr>
        <w:pStyle w:val="FootnoteText"/>
        <w:rPr>
          <w:lang w:val="en-IE"/>
        </w:rPr>
      </w:pPr>
      <w:r>
        <w:rPr>
          <w:rStyle w:val="FootnoteReference"/>
        </w:rPr>
        <w:footnoteRef/>
      </w:r>
      <w:r>
        <w:t xml:space="preserve"> </w:t>
      </w:r>
      <w:r>
        <w:tab/>
      </w:r>
      <w:r w:rsidRPr="00F77583">
        <w:rPr>
          <w:lang w:val="en-IE"/>
        </w:rPr>
        <w:t>Country visit Luxembourg, ALJP, ALMI.</w:t>
      </w:r>
    </w:p>
  </w:footnote>
  <w:footnote w:id="110">
    <w:p w14:paraId="7F843984" w14:textId="3521E3F3" w:rsidR="00E53886" w:rsidRPr="001E1E56" w:rsidRDefault="00E53886" w:rsidP="00497277">
      <w:pPr>
        <w:pStyle w:val="FootnoteText"/>
      </w:pPr>
      <w:r>
        <w:rPr>
          <w:rStyle w:val="FootnoteReference"/>
        </w:rPr>
        <w:footnoteRef/>
      </w:r>
      <w:r>
        <w:t xml:space="preserve"> </w:t>
      </w:r>
      <w:r>
        <w:tab/>
      </w:r>
      <w:r w:rsidRPr="001E1E56">
        <w:t>Luxembourg Government (2025)</w:t>
      </w:r>
      <w:r>
        <w:t>.</w:t>
      </w:r>
    </w:p>
  </w:footnote>
  <w:footnote w:id="111">
    <w:p w14:paraId="0E9F7D75" w14:textId="77777777" w:rsidR="00E53886" w:rsidRPr="00D67C48" w:rsidRDefault="00E53886" w:rsidP="00497277">
      <w:pPr>
        <w:pStyle w:val="FootnoteText"/>
      </w:pPr>
      <w:r>
        <w:rPr>
          <w:rStyle w:val="FootnoteReference"/>
        </w:rPr>
        <w:footnoteRef/>
      </w:r>
      <w:r>
        <w:t xml:space="preserve"> </w:t>
      </w:r>
      <w:r>
        <w:tab/>
      </w:r>
      <w:r w:rsidRPr="001E197C">
        <w:t>The other institutions involved include the Media, Connectivity and Digital Policy Department, the Ministry of Foreign and European Affairs, the Government Information and Press Service, the Grand-Ducal Police, as well as representatives of the press.</w:t>
      </w:r>
    </w:p>
  </w:footnote>
  <w:footnote w:id="112">
    <w:p w14:paraId="179CB8C3" w14:textId="77777777" w:rsidR="00E53886" w:rsidRPr="00F77583" w:rsidRDefault="00E53886" w:rsidP="00497277">
      <w:pPr>
        <w:pStyle w:val="FootnoteText"/>
        <w:rPr>
          <w:lang w:val="en-IE"/>
        </w:rPr>
      </w:pPr>
      <w:r>
        <w:rPr>
          <w:rStyle w:val="FootnoteReference"/>
        </w:rPr>
        <w:footnoteRef/>
      </w:r>
      <w:r>
        <w:t xml:space="preserve"> </w:t>
      </w:r>
      <w:r>
        <w:tab/>
      </w:r>
      <w:r w:rsidRPr="00F77583">
        <w:rPr>
          <w:lang w:val="en-IE"/>
        </w:rPr>
        <w:t>Country visit Luxembourg, Press Council, ALJP, ALMI.</w:t>
      </w:r>
    </w:p>
  </w:footnote>
  <w:footnote w:id="113">
    <w:p w14:paraId="7268E0B6" w14:textId="77777777" w:rsidR="00E53886" w:rsidRPr="00F75A8B" w:rsidRDefault="00E53886" w:rsidP="00497277">
      <w:pPr>
        <w:pStyle w:val="FootnoteText"/>
      </w:pPr>
      <w:r>
        <w:rPr>
          <w:rStyle w:val="FootnoteReference"/>
        </w:rPr>
        <w:footnoteRef/>
      </w:r>
      <w:r>
        <w:t xml:space="preserve"> </w:t>
      </w:r>
      <w:r>
        <w:tab/>
      </w:r>
      <w:r w:rsidRPr="00F75A8B">
        <w:t>Chamber of Deputies (2026d)</w:t>
      </w:r>
      <w:r>
        <w:t>.</w:t>
      </w:r>
    </w:p>
  </w:footnote>
  <w:footnote w:id="114">
    <w:p w14:paraId="3C819815" w14:textId="77777777" w:rsidR="00E53886" w:rsidRPr="007A53AF" w:rsidRDefault="00E53886" w:rsidP="00497277">
      <w:pPr>
        <w:pStyle w:val="FootnoteText"/>
      </w:pPr>
      <w:r w:rsidRPr="00E816D5">
        <w:rPr>
          <w:rStyle w:val="FootnoteReference"/>
        </w:rPr>
        <w:footnoteRef/>
      </w:r>
      <w:r w:rsidRPr="00E816D5">
        <w:t xml:space="preserve"> </w:t>
      </w:r>
      <w:r>
        <w:tab/>
        <w:t>Council of Europe, Safety of Journalists Platform.</w:t>
      </w:r>
    </w:p>
  </w:footnote>
  <w:footnote w:id="115">
    <w:p w14:paraId="52B4421B" w14:textId="77777777" w:rsidR="00E53886" w:rsidRPr="00AB793C" w:rsidRDefault="00E53886" w:rsidP="00497277">
      <w:pPr>
        <w:pStyle w:val="FootnoteText"/>
      </w:pPr>
      <w:r>
        <w:rPr>
          <w:rStyle w:val="FootnoteReference"/>
        </w:rPr>
        <w:footnoteRef/>
      </w:r>
      <w:r>
        <w:t xml:space="preserve"> </w:t>
      </w:r>
      <w:r>
        <w:tab/>
        <w:t xml:space="preserve">OECD (2025), p. 166; </w:t>
      </w:r>
      <w:r>
        <w:rPr>
          <w:lang w:val="en-IE"/>
        </w:rPr>
        <w:t xml:space="preserve">Country visit Luxembourg, Ministry of State, Luxembourg Chamber of Commerce, </w:t>
      </w:r>
      <w:r w:rsidRPr="00AB793C">
        <w:rPr>
          <w:lang w:val="en-IE"/>
        </w:rPr>
        <w:t>Luxembourg Chamber of Trades</w:t>
      </w:r>
      <w:r>
        <w:rPr>
          <w:lang w:val="en-IE"/>
        </w:rPr>
        <w:t>.</w:t>
      </w:r>
    </w:p>
  </w:footnote>
  <w:footnote w:id="116">
    <w:p w14:paraId="6858F5E6" w14:textId="77777777" w:rsidR="00E53886" w:rsidRPr="00561FC9" w:rsidRDefault="00E53886" w:rsidP="00497277">
      <w:pPr>
        <w:pStyle w:val="FootnoteText"/>
        <w:rPr>
          <w:lang w:val="en-IE"/>
        </w:rPr>
      </w:pPr>
      <w:r>
        <w:rPr>
          <w:rStyle w:val="FootnoteReference"/>
        </w:rPr>
        <w:footnoteRef/>
      </w:r>
      <w:r>
        <w:t xml:space="preserve"> </w:t>
      </w:r>
      <w:r>
        <w:tab/>
        <w:t>Country visit Luxembourg, Ministry of State.</w:t>
      </w:r>
    </w:p>
  </w:footnote>
  <w:footnote w:id="117">
    <w:p w14:paraId="37DE6E91" w14:textId="77777777" w:rsidR="00E53886" w:rsidRPr="00782BDD" w:rsidRDefault="00E53886" w:rsidP="00497277">
      <w:pPr>
        <w:pStyle w:val="FootnoteText"/>
      </w:pPr>
      <w:r>
        <w:rPr>
          <w:rStyle w:val="FootnoteReference"/>
        </w:rPr>
        <w:footnoteRef/>
      </w:r>
      <w:r>
        <w:t xml:space="preserve"> </w:t>
      </w:r>
      <w:r>
        <w:tab/>
      </w:r>
      <w:r w:rsidRPr="00CF72CA">
        <w:t>OECD</w:t>
      </w:r>
      <w:r w:rsidRPr="00783E38">
        <w:t xml:space="preserve"> (2025), p. 166</w:t>
      </w:r>
      <w:r>
        <w:t>,</w:t>
      </w:r>
      <w:r w:rsidRPr="00CF72CA">
        <w:t xml:space="preserve"> </w:t>
      </w:r>
      <w:r>
        <w:rPr>
          <w:sz w:val="22"/>
          <w:lang w:eastAsia="en-GB"/>
        </w:rPr>
        <w:t xml:space="preserve">European Union Agency for Fundamental Rights (2026), pp. 6-7; </w:t>
      </w:r>
      <w:r w:rsidRPr="00CF72CA">
        <w:t>country visit Luxembourg, CCDH, IDV.</w:t>
      </w:r>
    </w:p>
  </w:footnote>
  <w:footnote w:id="118">
    <w:p w14:paraId="6B448DBC" w14:textId="77777777" w:rsidR="00E53886" w:rsidRPr="00267C38" w:rsidRDefault="00E53886" w:rsidP="00497277">
      <w:pPr>
        <w:pStyle w:val="FootnoteText"/>
      </w:pPr>
      <w:r>
        <w:rPr>
          <w:rStyle w:val="FootnoteReference"/>
        </w:rPr>
        <w:footnoteRef/>
      </w:r>
      <w:r>
        <w:t xml:space="preserve"> </w:t>
      </w:r>
      <w:r>
        <w:tab/>
        <w:t>Chamber of Deputies (2025d); country visit Luxembourg, Ministry of State.</w:t>
      </w:r>
    </w:p>
  </w:footnote>
  <w:footnote w:id="119">
    <w:p w14:paraId="3FFE5610" w14:textId="77777777" w:rsidR="00E53886" w:rsidRPr="00056F1D" w:rsidRDefault="00E53886" w:rsidP="00497277">
      <w:pPr>
        <w:pStyle w:val="FootnoteText"/>
      </w:pPr>
      <w:r w:rsidRPr="00056F1D">
        <w:rPr>
          <w:rStyle w:val="FootnoteReference"/>
        </w:rPr>
        <w:footnoteRef/>
      </w:r>
      <w:r w:rsidRPr="00056F1D">
        <w:t xml:space="preserve"> </w:t>
      </w:r>
      <w:r w:rsidRPr="00056F1D">
        <w:tab/>
        <w:t>Figure</w:t>
      </w:r>
      <w:r>
        <w:t>s</w:t>
      </w:r>
      <w:r w:rsidRPr="00056F1D">
        <w:t xml:space="preserve"> </w:t>
      </w:r>
      <w:r>
        <w:t>52 and 53</w:t>
      </w:r>
      <w:r w:rsidRPr="00056F1D">
        <w:t>, 202</w:t>
      </w:r>
      <w:r>
        <w:t>6</w:t>
      </w:r>
      <w:r w:rsidRPr="00056F1D">
        <w:t xml:space="preserve"> EU Justice Scoreboard</w:t>
      </w:r>
      <w:r>
        <w:t>. Only 4</w:t>
      </w:r>
      <w:r w:rsidRPr="00F52534">
        <w:rPr>
          <w:lang w:eastAsia="fr-FR"/>
        </w:rPr>
        <w:t xml:space="preserve">% </w:t>
      </w:r>
      <w:r>
        <w:rPr>
          <w:lang w:eastAsia="fr-FR"/>
        </w:rPr>
        <w:t xml:space="preserve">and 2% </w:t>
      </w:r>
      <w:r w:rsidRPr="00056F1D">
        <w:t xml:space="preserve">of the surveyed investors </w:t>
      </w:r>
      <w:r>
        <w:t xml:space="preserve">respectively </w:t>
      </w:r>
      <w:r w:rsidRPr="00056F1D">
        <w:t>perceive</w:t>
      </w:r>
      <w:r>
        <w:t xml:space="preserve"> </w:t>
      </w:r>
      <w:r w:rsidRPr="00E65DB6">
        <w:rPr>
          <w:rFonts w:eastAsia="Calibri"/>
        </w:rPr>
        <w:t>concerns about quality, efficiency or independence of justice</w:t>
      </w:r>
      <w:r>
        <w:rPr>
          <w:rFonts w:eastAsia="Calibri"/>
        </w:rPr>
        <w:t xml:space="preserve"> and </w:t>
      </w:r>
      <w:r w:rsidRPr="00196C3B">
        <w:t>frequent changes in legislation or concerns about the quality of the law-making process</w:t>
      </w:r>
      <w:r w:rsidRPr="00056F1D">
        <w:t xml:space="preserve"> as a reason for the lack of confidence in investment protection</w:t>
      </w:r>
      <w:r w:rsidRPr="00DA4734">
        <w:t>.</w:t>
      </w:r>
    </w:p>
  </w:footnote>
  <w:footnote w:id="120">
    <w:p w14:paraId="1B388BE4" w14:textId="77777777" w:rsidR="00E53886" w:rsidRPr="003B29EE" w:rsidRDefault="00E53886" w:rsidP="00497277">
      <w:pPr>
        <w:pStyle w:val="FootnoteText"/>
      </w:pPr>
      <w:r w:rsidRPr="00056F1D">
        <w:rPr>
          <w:rStyle w:val="FootnoteReference"/>
        </w:rPr>
        <w:footnoteRef/>
      </w:r>
      <w:r w:rsidRPr="003B29EE">
        <w:t xml:space="preserve"> </w:t>
      </w:r>
      <w:r w:rsidRPr="003B29EE">
        <w:tab/>
        <w:t xml:space="preserve">Figure </w:t>
      </w:r>
      <w:r>
        <w:t>60</w:t>
      </w:r>
      <w:r w:rsidRPr="003B29EE">
        <w:t>, 202</w:t>
      </w:r>
      <w:r>
        <w:t>6</w:t>
      </w:r>
      <w:r w:rsidRPr="003B29EE">
        <w:t xml:space="preserve"> EU Justice Scoreboard.</w:t>
      </w:r>
    </w:p>
  </w:footnote>
  <w:footnote w:id="121">
    <w:p w14:paraId="635B68C4" w14:textId="77777777" w:rsidR="00E53886" w:rsidRPr="00866ABA" w:rsidRDefault="00E53886" w:rsidP="00497277">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22">
    <w:p w14:paraId="44CF1739" w14:textId="77777777" w:rsidR="00E53886" w:rsidRPr="000915BB" w:rsidRDefault="00E53886" w:rsidP="00497277">
      <w:pPr>
        <w:pStyle w:val="FootnoteText"/>
      </w:pPr>
      <w:r w:rsidRPr="000915BB">
        <w:rPr>
          <w:rStyle w:val="FootnoteReference"/>
        </w:rPr>
        <w:footnoteRef/>
      </w:r>
      <w:r w:rsidRPr="000915BB">
        <w:t xml:space="preserve"> </w:t>
      </w:r>
      <w:r w:rsidRPr="000915BB">
        <w:tab/>
        <w:t xml:space="preserve">For an explanation of the supervision process, see the </w:t>
      </w:r>
      <w:hyperlink r:id="rId2" w:history="1">
        <w:r w:rsidRPr="000915BB">
          <w:rPr>
            <w:rStyle w:val="Hyperlink"/>
          </w:rPr>
          <w:t>website</w:t>
        </w:r>
      </w:hyperlink>
      <w:r w:rsidRPr="000915BB">
        <w:t xml:space="preserve"> of the Council of Europe.  </w:t>
      </w:r>
    </w:p>
  </w:footnote>
  <w:footnote w:id="123">
    <w:p w14:paraId="57BAAE63" w14:textId="77777777" w:rsidR="00E53886" w:rsidRPr="000915BB" w:rsidRDefault="00E53886" w:rsidP="00497277">
      <w:pPr>
        <w:pStyle w:val="FootnoteText"/>
      </w:pPr>
      <w:r w:rsidRPr="000915BB">
        <w:rPr>
          <w:rStyle w:val="FootnoteReference"/>
        </w:rPr>
        <w:footnoteRef/>
      </w:r>
      <w:r w:rsidRPr="000915BB">
        <w:t xml:space="preserve"> </w:t>
      </w:r>
      <w:r w:rsidRPr="000915BB">
        <w:tab/>
        <w:t xml:space="preserve">All figures calculated by the European Implementation Network (EIN) and based on the number of cases that are considered pending at the annual cut-off date of 1 January </w:t>
      </w:r>
      <w:r>
        <w:t>2026</w:t>
      </w:r>
      <w:r w:rsidRPr="000915BB">
        <w:t>. EIN (</w:t>
      </w:r>
      <w:r>
        <w:t>2026</w:t>
      </w:r>
      <w:r w:rsidRPr="000915BB">
        <w:t xml:space="preserve">), written input, p. </w:t>
      </w:r>
      <w:r>
        <w:t>7</w:t>
      </w:r>
      <w:r w:rsidRPr="000915BB">
        <w:t>.</w:t>
      </w:r>
    </w:p>
  </w:footnote>
  <w:footnote w:id="124">
    <w:p w14:paraId="2FC0ED26" w14:textId="77777777" w:rsidR="00E53886" w:rsidRPr="000915BB" w:rsidRDefault="00E53886" w:rsidP="00497277">
      <w:pPr>
        <w:pStyle w:val="FootnoteText"/>
      </w:pPr>
      <w:r w:rsidRPr="000915BB">
        <w:rPr>
          <w:rStyle w:val="FootnoteReference"/>
        </w:rPr>
        <w:footnoteRef/>
      </w:r>
      <w:r w:rsidRPr="000915BB">
        <w:t xml:space="preserve"> </w:t>
      </w:r>
      <w:r w:rsidRPr="000915BB">
        <w:tab/>
        <w:t xml:space="preserve">Judgment of the ECtHR, 35245/18, </w:t>
      </w:r>
      <w:r w:rsidRPr="00F1765B">
        <w:rPr>
          <w:i/>
          <w:iCs/>
        </w:rPr>
        <w:t>Foyer Assurances S.A. v. Luxembourg</w:t>
      </w:r>
      <w:r w:rsidRPr="000915BB">
        <w:t>, pending implementation since 202</w:t>
      </w:r>
      <w:r>
        <w:t>2</w:t>
      </w:r>
      <w:r w:rsidRPr="000915BB">
        <w:t xml:space="preserve">. </w:t>
      </w:r>
    </w:p>
  </w:footnote>
  <w:footnote w:id="125">
    <w:p w14:paraId="175694D6" w14:textId="77777777" w:rsidR="00E53886" w:rsidRPr="000915BB" w:rsidRDefault="00E53886" w:rsidP="00497277">
      <w:pPr>
        <w:pStyle w:val="FootnoteText"/>
      </w:pPr>
      <w:r w:rsidRPr="000915BB">
        <w:rPr>
          <w:rStyle w:val="FootnoteReference"/>
        </w:rPr>
        <w:footnoteRef/>
      </w:r>
      <w:r w:rsidRPr="000915BB">
        <w:t xml:space="preserve"> </w:t>
      </w:r>
      <w:r w:rsidRPr="000915BB">
        <w:tab/>
        <w:t>Council of Europe (</w:t>
      </w:r>
      <w:r>
        <w:t>2026</w:t>
      </w:r>
      <w:r w:rsidRPr="000915BB">
        <w:t xml:space="preserve">), p. </w:t>
      </w:r>
      <w:r>
        <w:t>163</w:t>
      </w:r>
      <w:r w:rsidRPr="000915BB">
        <w:t xml:space="preserve"> </w:t>
      </w:r>
    </w:p>
  </w:footnote>
  <w:footnote w:id="126">
    <w:p w14:paraId="6F989AE6" w14:textId="77777777" w:rsidR="00E53886" w:rsidRPr="000915BB" w:rsidRDefault="00E53886" w:rsidP="00497277">
      <w:pPr>
        <w:pStyle w:val="FootnoteText"/>
      </w:pPr>
      <w:r w:rsidRPr="000915BB">
        <w:rPr>
          <w:rStyle w:val="FootnoteReference"/>
        </w:rPr>
        <w:footnoteRef/>
      </w:r>
      <w:r w:rsidRPr="000915BB">
        <w:t xml:space="preserve"> </w:t>
      </w:r>
      <w:r w:rsidRPr="000915BB">
        <w:tab/>
        <w:t>Data according to the online database of the Council of Europe (HUDOC).</w:t>
      </w:r>
    </w:p>
  </w:footnote>
  <w:footnote w:id="127">
    <w:p w14:paraId="4C7B5C7F" w14:textId="77777777" w:rsidR="00E53886" w:rsidRPr="007202E7" w:rsidRDefault="00E53886" w:rsidP="00497277">
      <w:pPr>
        <w:pStyle w:val="FootnoteText"/>
        <w:rPr>
          <w:lang w:val="en-IE"/>
        </w:rPr>
      </w:pPr>
      <w:r>
        <w:rPr>
          <w:rStyle w:val="FootnoteReference"/>
        </w:rPr>
        <w:footnoteRef/>
      </w:r>
      <w:r>
        <w:t xml:space="preserve"> </w:t>
      </w:r>
      <w:r>
        <w:tab/>
      </w:r>
      <w:r w:rsidRPr="00861691">
        <w:t>Chamber of Deputies (2025</w:t>
      </w:r>
      <w:r>
        <w:t>b</w:t>
      </w:r>
      <w:r w:rsidRPr="00861691">
        <w:t>)</w:t>
      </w:r>
      <w:r>
        <w:t xml:space="preserve">; </w:t>
      </w:r>
      <w:r>
        <w:rPr>
          <w:lang w:val="en-IE"/>
        </w:rPr>
        <w:t>2025 Rule of Law Report, p. 13; 2024 Rule of Law Report, p. 19.</w:t>
      </w:r>
    </w:p>
  </w:footnote>
  <w:footnote w:id="128">
    <w:p w14:paraId="33984031" w14:textId="77777777" w:rsidR="00E53886" w:rsidRPr="00FB72F6" w:rsidRDefault="00E53886" w:rsidP="00497277">
      <w:pPr>
        <w:pStyle w:val="FootnoteText"/>
        <w:rPr>
          <w:lang w:val="en-IE"/>
        </w:rPr>
      </w:pPr>
      <w:r>
        <w:rPr>
          <w:rStyle w:val="FootnoteReference"/>
        </w:rPr>
        <w:footnoteRef/>
      </w:r>
      <w:r>
        <w:t xml:space="preserve"> </w:t>
      </w:r>
      <w:r>
        <w:tab/>
      </w:r>
      <w:r>
        <w:rPr>
          <w:lang w:val="en-IE"/>
        </w:rPr>
        <w:t>Country visit Luxembourg, CCDH.</w:t>
      </w:r>
    </w:p>
  </w:footnote>
  <w:footnote w:id="129">
    <w:p w14:paraId="72E35949" w14:textId="16A71019" w:rsidR="00E53886" w:rsidRPr="00105138" w:rsidRDefault="00E53886" w:rsidP="00497277">
      <w:pPr>
        <w:pStyle w:val="FootnoteText"/>
      </w:pPr>
      <w:r>
        <w:rPr>
          <w:rStyle w:val="FootnoteReference"/>
        </w:rPr>
        <w:footnoteRef/>
      </w:r>
      <w:r w:rsidR="00B52760">
        <w:tab/>
      </w:r>
      <w:r>
        <w:t>Chamber of Deputies (2025e).</w:t>
      </w:r>
    </w:p>
  </w:footnote>
  <w:footnote w:id="130">
    <w:p w14:paraId="16E53C49" w14:textId="77777777" w:rsidR="00E53886" w:rsidRPr="00930A47" w:rsidRDefault="00E53886" w:rsidP="00497277">
      <w:pPr>
        <w:pStyle w:val="FootnoteText"/>
      </w:pPr>
      <w:r>
        <w:rPr>
          <w:rStyle w:val="FootnoteReference"/>
        </w:rPr>
        <w:footnoteRef/>
      </w:r>
      <w:r>
        <w:t xml:space="preserve"> </w:t>
      </w:r>
      <w:r>
        <w:tab/>
        <w:t xml:space="preserve">Law of 28 November 2025, which assigns to the CCDH the task to systematically issue a prior opinion on applications for authorisation and renewal of surveillance cameras in public spaces; Chamber of Deputies (2025e); </w:t>
      </w:r>
      <w:r>
        <w:rPr>
          <w:lang w:val="en-IE"/>
        </w:rPr>
        <w:t>Country visit Luxembourg, Chamber of Deputies.</w:t>
      </w:r>
    </w:p>
  </w:footnote>
  <w:footnote w:id="131">
    <w:p w14:paraId="73466C3F" w14:textId="4C490EF7" w:rsidR="00E53886" w:rsidRPr="00E70122" w:rsidRDefault="00E53886" w:rsidP="00497277">
      <w:pPr>
        <w:pStyle w:val="FootnoteText"/>
      </w:pPr>
      <w:r>
        <w:rPr>
          <w:rStyle w:val="FootnoteReference"/>
        </w:rPr>
        <w:footnoteRef/>
      </w:r>
      <w:r>
        <w:t xml:space="preserve"> </w:t>
      </w:r>
      <w:r w:rsidR="00B66729">
        <w:tab/>
      </w:r>
      <w:r w:rsidRPr="00B66729">
        <w:t xml:space="preserve">Country visit Luxembourg, CCDH; </w:t>
      </w:r>
      <w:r w:rsidRPr="00B66729">
        <w:rPr>
          <w:lang w:eastAsia="en-GB"/>
        </w:rPr>
        <w:t>European Network of National Human Rights Institutions (2026).</w:t>
      </w:r>
    </w:p>
  </w:footnote>
  <w:footnote w:id="132">
    <w:p w14:paraId="6FB3A1C6" w14:textId="45A8FC44" w:rsidR="00E53886" w:rsidRPr="00A54684" w:rsidRDefault="00E53886" w:rsidP="00497277">
      <w:pPr>
        <w:pStyle w:val="FootnoteText"/>
      </w:pPr>
      <w:r>
        <w:rPr>
          <w:rStyle w:val="FootnoteReference"/>
        </w:rPr>
        <w:footnoteRef/>
      </w:r>
      <w:r>
        <w:t xml:space="preserve"> </w:t>
      </w:r>
      <w:r>
        <w:tab/>
      </w:r>
      <w:r w:rsidR="00956DF5">
        <w:t>Luxembourg’s score</w:t>
      </w:r>
      <w:r>
        <w:t xml:space="preserve"> is 94/100. </w:t>
      </w:r>
      <w:r w:rsidRPr="0058470E">
        <w:t>Rating</w:t>
      </w:r>
      <w:r>
        <w:t>s</w:t>
      </w:r>
      <w:r w:rsidRPr="0058470E">
        <w:t xml:space="preserve"> by CIVICUS are on a five-category scale defined as: open, narrowed, obstructed, repressed and closed</w:t>
      </w:r>
      <w:r>
        <w:t>.</w:t>
      </w:r>
    </w:p>
  </w:footnote>
  <w:footnote w:id="133">
    <w:p w14:paraId="5952108E" w14:textId="77777777" w:rsidR="00E53886" w:rsidRPr="003650D8" w:rsidRDefault="00E53886" w:rsidP="00497277">
      <w:pPr>
        <w:pStyle w:val="FootnoteText"/>
        <w:rPr>
          <w:lang w:val="en-IE"/>
        </w:rPr>
      </w:pPr>
      <w:r>
        <w:rPr>
          <w:rStyle w:val="FootnoteReference"/>
        </w:rPr>
        <w:footnoteRef/>
      </w:r>
      <w:r>
        <w:t xml:space="preserve"> </w:t>
      </w:r>
      <w:r>
        <w:rPr>
          <w:lang w:val="en-IE"/>
        </w:rPr>
        <w:tab/>
        <w:t>Country visit Luxembourg, IDV.</w:t>
      </w:r>
    </w:p>
  </w:footnote>
  <w:footnote w:id="134">
    <w:p w14:paraId="3C51F985" w14:textId="21369A2B" w:rsidR="00E53886" w:rsidRPr="00A30A82" w:rsidRDefault="00E53886" w:rsidP="00497277">
      <w:pPr>
        <w:pStyle w:val="FootnoteText"/>
        <w:rPr>
          <w:lang w:val="en-IE"/>
        </w:rPr>
      </w:pPr>
      <w:r>
        <w:rPr>
          <w:rStyle w:val="FootnoteReference"/>
        </w:rPr>
        <w:footnoteRef/>
      </w:r>
      <w:r>
        <w:t xml:space="preserve"> </w:t>
      </w:r>
      <w:r>
        <w:rPr>
          <w:lang w:val="en-IE"/>
        </w:rPr>
        <w:tab/>
        <w:t>Council of State (2025</w:t>
      </w:r>
      <w:r w:rsidR="00205C0F">
        <w:rPr>
          <w:lang w:val="en-IE"/>
        </w:rPr>
        <w:t>b</w:t>
      </w:r>
      <w:r>
        <w:rPr>
          <w:lang w:val="en-IE"/>
        </w:rPr>
        <w:t xml:space="preserve">), p. 2, </w:t>
      </w:r>
      <w:r w:rsidRPr="00933766">
        <w:rPr>
          <w:lang w:val="en-IE"/>
        </w:rPr>
        <w:t xml:space="preserve">European Union Agency for Fundamental Rights (2026), pp. 3-4; </w:t>
      </w:r>
      <w:r>
        <w:rPr>
          <w:lang w:val="en-IE"/>
        </w:rPr>
        <w:t>Chamber of Deputies (2024a).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5898" w14:textId="77777777" w:rsidR="00DD714E" w:rsidRPr="00DD714E" w:rsidRDefault="00DD714E" w:rsidP="00DD714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52DE2" w14:textId="77777777" w:rsidR="00DD714E" w:rsidRPr="00DD714E" w:rsidRDefault="00DD714E" w:rsidP="00DD714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E94FE" w14:textId="77777777" w:rsidR="00DD714E" w:rsidRPr="00DD714E" w:rsidRDefault="00DD714E" w:rsidP="00DD714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040A5" w14:textId="2AD2BCB5" w:rsidR="00E53886" w:rsidRDefault="00E538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EBCD0" w14:textId="719E34F5" w:rsidR="00E53886" w:rsidRPr="00B919C1" w:rsidRDefault="00E53886">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6B29B" w14:textId="46D66AF9" w:rsidR="00E53886" w:rsidRDefault="00E53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8A25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DC074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7B0E9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61088F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41A8F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74DD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B837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E680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C203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00A3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55F08"/>
    <w:multiLevelType w:val="hybridMultilevel"/>
    <w:tmpl w:val="1AF2FACE"/>
    <w:lvl w:ilvl="0" w:tplc="63A4F080">
      <w:start w:val="1"/>
      <w:numFmt w:val="bullet"/>
      <w:lvlText w:val=""/>
      <w:lvlJc w:val="left"/>
      <w:pPr>
        <w:ind w:left="720" w:hanging="360"/>
      </w:pPr>
      <w:rPr>
        <w:rFonts w:ascii="Symbol" w:hAnsi="Symbol"/>
      </w:rPr>
    </w:lvl>
    <w:lvl w:ilvl="1" w:tplc="03DAFB94">
      <w:start w:val="1"/>
      <w:numFmt w:val="bullet"/>
      <w:lvlText w:val=""/>
      <w:lvlJc w:val="left"/>
      <w:pPr>
        <w:ind w:left="720" w:hanging="360"/>
      </w:pPr>
      <w:rPr>
        <w:rFonts w:ascii="Symbol" w:hAnsi="Symbol"/>
      </w:rPr>
    </w:lvl>
    <w:lvl w:ilvl="2" w:tplc="18689284">
      <w:start w:val="1"/>
      <w:numFmt w:val="bullet"/>
      <w:lvlText w:val=""/>
      <w:lvlJc w:val="left"/>
      <w:pPr>
        <w:ind w:left="720" w:hanging="360"/>
      </w:pPr>
      <w:rPr>
        <w:rFonts w:ascii="Symbol" w:hAnsi="Symbol"/>
      </w:rPr>
    </w:lvl>
    <w:lvl w:ilvl="3" w:tplc="59708CC6">
      <w:start w:val="1"/>
      <w:numFmt w:val="bullet"/>
      <w:lvlText w:val=""/>
      <w:lvlJc w:val="left"/>
      <w:pPr>
        <w:ind w:left="720" w:hanging="360"/>
      </w:pPr>
      <w:rPr>
        <w:rFonts w:ascii="Symbol" w:hAnsi="Symbol"/>
      </w:rPr>
    </w:lvl>
    <w:lvl w:ilvl="4" w:tplc="0BB8113C">
      <w:start w:val="1"/>
      <w:numFmt w:val="bullet"/>
      <w:lvlText w:val=""/>
      <w:lvlJc w:val="left"/>
      <w:pPr>
        <w:ind w:left="720" w:hanging="360"/>
      </w:pPr>
      <w:rPr>
        <w:rFonts w:ascii="Symbol" w:hAnsi="Symbol"/>
      </w:rPr>
    </w:lvl>
    <w:lvl w:ilvl="5" w:tplc="9DA2CDA4">
      <w:start w:val="1"/>
      <w:numFmt w:val="bullet"/>
      <w:lvlText w:val=""/>
      <w:lvlJc w:val="left"/>
      <w:pPr>
        <w:ind w:left="720" w:hanging="360"/>
      </w:pPr>
      <w:rPr>
        <w:rFonts w:ascii="Symbol" w:hAnsi="Symbol"/>
      </w:rPr>
    </w:lvl>
    <w:lvl w:ilvl="6" w:tplc="8E70EEF8">
      <w:start w:val="1"/>
      <w:numFmt w:val="bullet"/>
      <w:lvlText w:val=""/>
      <w:lvlJc w:val="left"/>
      <w:pPr>
        <w:ind w:left="720" w:hanging="360"/>
      </w:pPr>
      <w:rPr>
        <w:rFonts w:ascii="Symbol" w:hAnsi="Symbol"/>
      </w:rPr>
    </w:lvl>
    <w:lvl w:ilvl="7" w:tplc="34C03214">
      <w:start w:val="1"/>
      <w:numFmt w:val="bullet"/>
      <w:lvlText w:val=""/>
      <w:lvlJc w:val="left"/>
      <w:pPr>
        <w:ind w:left="720" w:hanging="360"/>
      </w:pPr>
      <w:rPr>
        <w:rFonts w:ascii="Symbol" w:hAnsi="Symbol"/>
      </w:rPr>
    </w:lvl>
    <w:lvl w:ilvl="8" w:tplc="7F569F88">
      <w:start w:val="1"/>
      <w:numFmt w:val="bullet"/>
      <w:lvlText w:val=""/>
      <w:lvlJc w:val="left"/>
      <w:pPr>
        <w:ind w:left="720" w:hanging="360"/>
      </w:pPr>
      <w:rPr>
        <w:rFonts w:ascii="Symbol" w:hAnsi="Symbol"/>
      </w:rPr>
    </w:lvl>
  </w:abstractNum>
  <w:abstractNum w:abstractNumId="1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2723249"/>
    <w:multiLevelType w:val="hybridMultilevel"/>
    <w:tmpl w:val="BF280EAA"/>
    <w:lvl w:ilvl="0" w:tplc="DF4AA84A">
      <w:start w:val="1"/>
      <w:numFmt w:val="bullet"/>
      <w:lvlText w:val=""/>
      <w:lvlJc w:val="left"/>
      <w:pPr>
        <w:ind w:left="720" w:hanging="360"/>
      </w:pPr>
      <w:rPr>
        <w:rFonts w:ascii="Symbol" w:hAnsi="Symbol"/>
      </w:rPr>
    </w:lvl>
    <w:lvl w:ilvl="1" w:tplc="A296DC7E">
      <w:start w:val="1"/>
      <w:numFmt w:val="bullet"/>
      <w:lvlText w:val=""/>
      <w:lvlJc w:val="left"/>
      <w:pPr>
        <w:ind w:left="720" w:hanging="360"/>
      </w:pPr>
      <w:rPr>
        <w:rFonts w:ascii="Symbol" w:hAnsi="Symbol"/>
      </w:rPr>
    </w:lvl>
    <w:lvl w:ilvl="2" w:tplc="73CCE472">
      <w:start w:val="1"/>
      <w:numFmt w:val="bullet"/>
      <w:lvlText w:val=""/>
      <w:lvlJc w:val="left"/>
      <w:pPr>
        <w:ind w:left="720" w:hanging="360"/>
      </w:pPr>
      <w:rPr>
        <w:rFonts w:ascii="Symbol" w:hAnsi="Symbol"/>
      </w:rPr>
    </w:lvl>
    <w:lvl w:ilvl="3" w:tplc="AC6C3482">
      <w:start w:val="1"/>
      <w:numFmt w:val="bullet"/>
      <w:lvlText w:val=""/>
      <w:lvlJc w:val="left"/>
      <w:pPr>
        <w:ind w:left="720" w:hanging="360"/>
      </w:pPr>
      <w:rPr>
        <w:rFonts w:ascii="Symbol" w:hAnsi="Symbol"/>
      </w:rPr>
    </w:lvl>
    <w:lvl w:ilvl="4" w:tplc="C0B0D7C8">
      <w:start w:val="1"/>
      <w:numFmt w:val="bullet"/>
      <w:lvlText w:val=""/>
      <w:lvlJc w:val="left"/>
      <w:pPr>
        <w:ind w:left="720" w:hanging="360"/>
      </w:pPr>
      <w:rPr>
        <w:rFonts w:ascii="Symbol" w:hAnsi="Symbol"/>
      </w:rPr>
    </w:lvl>
    <w:lvl w:ilvl="5" w:tplc="99F00B8C">
      <w:start w:val="1"/>
      <w:numFmt w:val="bullet"/>
      <w:lvlText w:val=""/>
      <w:lvlJc w:val="left"/>
      <w:pPr>
        <w:ind w:left="720" w:hanging="360"/>
      </w:pPr>
      <w:rPr>
        <w:rFonts w:ascii="Symbol" w:hAnsi="Symbol"/>
      </w:rPr>
    </w:lvl>
    <w:lvl w:ilvl="6" w:tplc="527A7C74">
      <w:start w:val="1"/>
      <w:numFmt w:val="bullet"/>
      <w:lvlText w:val=""/>
      <w:lvlJc w:val="left"/>
      <w:pPr>
        <w:ind w:left="720" w:hanging="360"/>
      </w:pPr>
      <w:rPr>
        <w:rFonts w:ascii="Symbol" w:hAnsi="Symbol"/>
      </w:rPr>
    </w:lvl>
    <w:lvl w:ilvl="7" w:tplc="FA2890D2">
      <w:start w:val="1"/>
      <w:numFmt w:val="bullet"/>
      <w:lvlText w:val=""/>
      <w:lvlJc w:val="left"/>
      <w:pPr>
        <w:ind w:left="720" w:hanging="360"/>
      </w:pPr>
      <w:rPr>
        <w:rFonts w:ascii="Symbol" w:hAnsi="Symbol"/>
      </w:rPr>
    </w:lvl>
    <w:lvl w:ilvl="8" w:tplc="2D1633E4">
      <w:start w:val="1"/>
      <w:numFmt w:val="bullet"/>
      <w:lvlText w:val=""/>
      <w:lvlJc w:val="left"/>
      <w:pPr>
        <w:ind w:left="720" w:hanging="360"/>
      </w:pPr>
      <w:rPr>
        <w:rFonts w:ascii="Symbol" w:hAnsi="Symbol"/>
      </w:rPr>
    </w:lvl>
  </w:abstractNum>
  <w:abstractNum w:abstractNumId="2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24"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68F3DB4"/>
    <w:multiLevelType w:val="hybridMultilevel"/>
    <w:tmpl w:val="8BACBD68"/>
    <w:lvl w:ilvl="0" w:tplc="18090013">
      <w:start w:val="1"/>
      <w:numFmt w:val="upperRoman"/>
      <w:lvlText w:val="%1."/>
      <w:lvlJc w:val="right"/>
      <w:pPr>
        <w:ind w:left="360" w:hanging="360"/>
      </w:p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2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A0B7B34"/>
    <w:multiLevelType w:val="hybridMultilevel"/>
    <w:tmpl w:val="681EA392"/>
    <w:lvl w:ilvl="0" w:tplc="46628748">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5"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9" w15:restartNumberingAfterBreak="0">
    <w:nsid w:val="7F6D46B1"/>
    <w:multiLevelType w:val="hybridMultilevel"/>
    <w:tmpl w:val="78748796"/>
    <w:lvl w:ilvl="0" w:tplc="280EE440">
      <w:start w:val="1"/>
      <w:numFmt w:val="bullet"/>
      <w:lvlText w:val=""/>
      <w:lvlJc w:val="left"/>
      <w:pPr>
        <w:ind w:left="1440" w:hanging="360"/>
      </w:pPr>
      <w:rPr>
        <w:rFonts w:ascii="Symbol" w:hAnsi="Symbol"/>
      </w:rPr>
    </w:lvl>
    <w:lvl w:ilvl="1" w:tplc="F3E4091E">
      <w:start w:val="1"/>
      <w:numFmt w:val="bullet"/>
      <w:lvlText w:val=""/>
      <w:lvlJc w:val="left"/>
      <w:pPr>
        <w:ind w:left="1440" w:hanging="360"/>
      </w:pPr>
      <w:rPr>
        <w:rFonts w:ascii="Symbol" w:hAnsi="Symbol"/>
      </w:rPr>
    </w:lvl>
    <w:lvl w:ilvl="2" w:tplc="365260F8">
      <w:start w:val="1"/>
      <w:numFmt w:val="bullet"/>
      <w:lvlText w:val=""/>
      <w:lvlJc w:val="left"/>
      <w:pPr>
        <w:ind w:left="1440" w:hanging="360"/>
      </w:pPr>
      <w:rPr>
        <w:rFonts w:ascii="Symbol" w:hAnsi="Symbol"/>
      </w:rPr>
    </w:lvl>
    <w:lvl w:ilvl="3" w:tplc="9BCA2CCC">
      <w:start w:val="1"/>
      <w:numFmt w:val="bullet"/>
      <w:lvlText w:val=""/>
      <w:lvlJc w:val="left"/>
      <w:pPr>
        <w:ind w:left="1440" w:hanging="360"/>
      </w:pPr>
      <w:rPr>
        <w:rFonts w:ascii="Symbol" w:hAnsi="Symbol"/>
      </w:rPr>
    </w:lvl>
    <w:lvl w:ilvl="4" w:tplc="173A7782">
      <w:start w:val="1"/>
      <w:numFmt w:val="bullet"/>
      <w:lvlText w:val=""/>
      <w:lvlJc w:val="left"/>
      <w:pPr>
        <w:ind w:left="1440" w:hanging="360"/>
      </w:pPr>
      <w:rPr>
        <w:rFonts w:ascii="Symbol" w:hAnsi="Symbol"/>
      </w:rPr>
    </w:lvl>
    <w:lvl w:ilvl="5" w:tplc="3806CDA6">
      <w:start w:val="1"/>
      <w:numFmt w:val="bullet"/>
      <w:lvlText w:val=""/>
      <w:lvlJc w:val="left"/>
      <w:pPr>
        <w:ind w:left="1440" w:hanging="360"/>
      </w:pPr>
      <w:rPr>
        <w:rFonts w:ascii="Symbol" w:hAnsi="Symbol"/>
      </w:rPr>
    </w:lvl>
    <w:lvl w:ilvl="6" w:tplc="EA38FEFA">
      <w:start w:val="1"/>
      <w:numFmt w:val="bullet"/>
      <w:lvlText w:val=""/>
      <w:lvlJc w:val="left"/>
      <w:pPr>
        <w:ind w:left="1440" w:hanging="360"/>
      </w:pPr>
      <w:rPr>
        <w:rFonts w:ascii="Symbol" w:hAnsi="Symbol"/>
      </w:rPr>
    </w:lvl>
    <w:lvl w:ilvl="7" w:tplc="86BA1CB4">
      <w:start w:val="1"/>
      <w:numFmt w:val="bullet"/>
      <w:lvlText w:val=""/>
      <w:lvlJc w:val="left"/>
      <w:pPr>
        <w:ind w:left="1440" w:hanging="360"/>
      </w:pPr>
      <w:rPr>
        <w:rFonts w:ascii="Symbol" w:hAnsi="Symbol"/>
      </w:rPr>
    </w:lvl>
    <w:lvl w:ilvl="8" w:tplc="823A5E74">
      <w:start w:val="1"/>
      <w:numFmt w:val="bullet"/>
      <w:lvlText w:val=""/>
      <w:lvlJc w:val="left"/>
      <w:pPr>
        <w:ind w:left="1440" w:hanging="360"/>
      </w:pPr>
      <w:rPr>
        <w:rFonts w:ascii="Symbol" w:hAnsi="Symbol"/>
      </w:rPr>
    </w:lvl>
  </w:abstractNum>
  <w:num w:numId="1">
    <w:abstractNumId w:val="38"/>
  </w:num>
  <w:num w:numId="2">
    <w:abstractNumId w:val="22"/>
  </w:num>
  <w:num w:numId="3">
    <w:abstractNumId w:val="21"/>
  </w:num>
  <w:num w:numId="4">
    <w:abstractNumId w:val="37"/>
  </w:num>
  <w:num w:numId="5">
    <w:abstractNumId w:val="31"/>
  </w:num>
  <w:num w:numId="6">
    <w:abstractNumId w:val="29"/>
  </w:num>
  <w:num w:numId="7">
    <w:abstractNumId w:val="20"/>
  </w:num>
  <w:num w:numId="8">
    <w:abstractNumId w:val="15"/>
  </w:num>
  <w:num w:numId="9">
    <w:abstractNumId w:val="14"/>
  </w:num>
  <w:num w:numId="10">
    <w:abstractNumId w:val="13"/>
  </w:num>
  <w:num w:numId="11">
    <w:abstractNumId w:val="30"/>
  </w:num>
  <w:num w:numId="12">
    <w:abstractNumId w:val="17"/>
  </w:num>
  <w:num w:numId="13">
    <w:abstractNumId w:val="12"/>
  </w:num>
  <w:num w:numId="14">
    <w:abstractNumId w:val="35"/>
  </w:num>
  <w:num w:numId="15">
    <w:abstractNumId w:val="33"/>
  </w:num>
  <w:num w:numId="16">
    <w:abstractNumId w:val="26"/>
  </w:num>
  <w:num w:numId="17">
    <w:abstractNumId w:val="18"/>
  </w:num>
  <w:num w:numId="18">
    <w:abstractNumId w:val="24"/>
  </w:num>
  <w:num w:numId="19">
    <w:abstractNumId w:val="11"/>
  </w:num>
  <w:num w:numId="20">
    <w:abstractNumId w:val="23"/>
  </w:num>
  <w:num w:numId="21">
    <w:abstractNumId w:val="16"/>
  </w:num>
  <w:num w:numId="22">
    <w:abstractNumId w:val="27"/>
  </w:num>
  <w:num w:numId="23">
    <w:abstractNumId w:val="36"/>
  </w:num>
  <w:num w:numId="24">
    <w:abstractNumId w:val="32"/>
  </w:num>
  <w:num w:numId="25">
    <w:abstractNumId w:val="3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9"/>
  </w:num>
  <w:num w:numId="37">
    <w:abstractNumId w:val="10"/>
  </w:num>
  <w:num w:numId="38">
    <w:abstractNumId w:val="39"/>
  </w:num>
  <w:num w:numId="39">
    <w:abstractNumId w:val="25"/>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CD3E84EF-BA5E-4ED8-BE75-7591C7465ACE"/>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b_Country Chapter on the rule of law situation in Luxembourg"/>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76EF"/>
    <w:rsid w:val="00011207"/>
    <w:rsid w:val="000165F8"/>
    <w:rsid w:val="00017618"/>
    <w:rsid w:val="0002377F"/>
    <w:rsid w:val="00025B57"/>
    <w:rsid w:val="00027184"/>
    <w:rsid w:val="00033B84"/>
    <w:rsid w:val="00040C86"/>
    <w:rsid w:val="00041CB6"/>
    <w:rsid w:val="00042B62"/>
    <w:rsid w:val="00045898"/>
    <w:rsid w:val="000640C3"/>
    <w:rsid w:val="000830E3"/>
    <w:rsid w:val="00084EBD"/>
    <w:rsid w:val="00085581"/>
    <w:rsid w:val="00085966"/>
    <w:rsid w:val="000875DA"/>
    <w:rsid w:val="000A0F2F"/>
    <w:rsid w:val="000A28A1"/>
    <w:rsid w:val="000B544F"/>
    <w:rsid w:val="000B6D8F"/>
    <w:rsid w:val="000C1F40"/>
    <w:rsid w:val="000C5963"/>
    <w:rsid w:val="000C624C"/>
    <w:rsid w:val="000D31FA"/>
    <w:rsid w:val="000D3F33"/>
    <w:rsid w:val="000E1C3E"/>
    <w:rsid w:val="000F096A"/>
    <w:rsid w:val="000F1215"/>
    <w:rsid w:val="000F1B41"/>
    <w:rsid w:val="00101251"/>
    <w:rsid w:val="00101F18"/>
    <w:rsid w:val="00102058"/>
    <w:rsid w:val="001073A9"/>
    <w:rsid w:val="00115114"/>
    <w:rsid w:val="0012606C"/>
    <w:rsid w:val="00134425"/>
    <w:rsid w:val="00135962"/>
    <w:rsid w:val="001418DB"/>
    <w:rsid w:val="00143A78"/>
    <w:rsid w:val="00143ACC"/>
    <w:rsid w:val="0014706E"/>
    <w:rsid w:val="00152E38"/>
    <w:rsid w:val="00154A40"/>
    <w:rsid w:val="00154EB8"/>
    <w:rsid w:val="00160218"/>
    <w:rsid w:val="00160355"/>
    <w:rsid w:val="00170C28"/>
    <w:rsid w:val="00170F0B"/>
    <w:rsid w:val="00171FBF"/>
    <w:rsid w:val="00180C84"/>
    <w:rsid w:val="00181D3A"/>
    <w:rsid w:val="0018578C"/>
    <w:rsid w:val="00187C2E"/>
    <w:rsid w:val="00190D2A"/>
    <w:rsid w:val="00190EFE"/>
    <w:rsid w:val="001913DE"/>
    <w:rsid w:val="00196425"/>
    <w:rsid w:val="001A2885"/>
    <w:rsid w:val="001A404C"/>
    <w:rsid w:val="001B2C78"/>
    <w:rsid w:val="001C04FF"/>
    <w:rsid w:val="001D785F"/>
    <w:rsid w:val="00201F38"/>
    <w:rsid w:val="00202C16"/>
    <w:rsid w:val="00205C0F"/>
    <w:rsid w:val="00214B7D"/>
    <w:rsid w:val="002157B6"/>
    <w:rsid w:val="002165D0"/>
    <w:rsid w:val="0022236A"/>
    <w:rsid w:val="002264A5"/>
    <w:rsid w:val="00230B73"/>
    <w:rsid w:val="00231427"/>
    <w:rsid w:val="00234545"/>
    <w:rsid w:val="00236925"/>
    <w:rsid w:val="00237C65"/>
    <w:rsid w:val="00240A4D"/>
    <w:rsid w:val="00240D84"/>
    <w:rsid w:val="0024147E"/>
    <w:rsid w:val="00245F9F"/>
    <w:rsid w:val="00247898"/>
    <w:rsid w:val="00253CB1"/>
    <w:rsid w:val="002606B9"/>
    <w:rsid w:val="0026487A"/>
    <w:rsid w:val="0027625C"/>
    <w:rsid w:val="002859F3"/>
    <w:rsid w:val="002874E8"/>
    <w:rsid w:val="0028776D"/>
    <w:rsid w:val="00291823"/>
    <w:rsid w:val="0029225F"/>
    <w:rsid w:val="00295BBA"/>
    <w:rsid w:val="002A15C9"/>
    <w:rsid w:val="002A4132"/>
    <w:rsid w:val="002B041D"/>
    <w:rsid w:val="002B1EB1"/>
    <w:rsid w:val="002B2CDF"/>
    <w:rsid w:val="002C00BF"/>
    <w:rsid w:val="002D2390"/>
    <w:rsid w:val="002D2EE0"/>
    <w:rsid w:val="002E248D"/>
    <w:rsid w:val="002E463B"/>
    <w:rsid w:val="002E76FB"/>
    <w:rsid w:val="002F1456"/>
    <w:rsid w:val="002F47D0"/>
    <w:rsid w:val="002F4AB4"/>
    <w:rsid w:val="00300EDC"/>
    <w:rsid w:val="0030216A"/>
    <w:rsid w:val="00303B81"/>
    <w:rsid w:val="0030784B"/>
    <w:rsid w:val="00307E49"/>
    <w:rsid w:val="00316982"/>
    <w:rsid w:val="003173E3"/>
    <w:rsid w:val="003225E4"/>
    <w:rsid w:val="00322D67"/>
    <w:rsid w:val="00324027"/>
    <w:rsid w:val="003241BB"/>
    <w:rsid w:val="00331749"/>
    <w:rsid w:val="00333936"/>
    <w:rsid w:val="00333B2D"/>
    <w:rsid w:val="00335D0D"/>
    <w:rsid w:val="003461A9"/>
    <w:rsid w:val="0035411C"/>
    <w:rsid w:val="00366226"/>
    <w:rsid w:val="00384835"/>
    <w:rsid w:val="00384EEE"/>
    <w:rsid w:val="00385740"/>
    <w:rsid w:val="00385C31"/>
    <w:rsid w:val="003877AE"/>
    <w:rsid w:val="003918B1"/>
    <w:rsid w:val="003A30B3"/>
    <w:rsid w:val="003B0E30"/>
    <w:rsid w:val="003B3BEB"/>
    <w:rsid w:val="003B5E18"/>
    <w:rsid w:val="003C33D9"/>
    <w:rsid w:val="003D0854"/>
    <w:rsid w:val="003D3A19"/>
    <w:rsid w:val="003D45E4"/>
    <w:rsid w:val="003E2A04"/>
    <w:rsid w:val="003F0EE8"/>
    <w:rsid w:val="00406FCD"/>
    <w:rsid w:val="004125E9"/>
    <w:rsid w:val="0041609A"/>
    <w:rsid w:val="00417916"/>
    <w:rsid w:val="004203F8"/>
    <w:rsid w:val="004220D9"/>
    <w:rsid w:val="00423788"/>
    <w:rsid w:val="00432FC4"/>
    <w:rsid w:val="00441F66"/>
    <w:rsid w:val="00442A8E"/>
    <w:rsid w:val="00442CEF"/>
    <w:rsid w:val="00450B1E"/>
    <w:rsid w:val="00452095"/>
    <w:rsid w:val="00460E89"/>
    <w:rsid w:val="00462D04"/>
    <w:rsid w:val="00464282"/>
    <w:rsid w:val="004706D3"/>
    <w:rsid w:val="00470E33"/>
    <w:rsid w:val="004752E1"/>
    <w:rsid w:val="0048131D"/>
    <w:rsid w:val="004841C3"/>
    <w:rsid w:val="0048557B"/>
    <w:rsid w:val="00486D4C"/>
    <w:rsid w:val="00495113"/>
    <w:rsid w:val="00497277"/>
    <w:rsid w:val="004A27E7"/>
    <w:rsid w:val="004B0111"/>
    <w:rsid w:val="004B4C59"/>
    <w:rsid w:val="004C0A6B"/>
    <w:rsid w:val="004D3196"/>
    <w:rsid w:val="004D408B"/>
    <w:rsid w:val="004E0655"/>
    <w:rsid w:val="004E3577"/>
    <w:rsid w:val="004E5CF5"/>
    <w:rsid w:val="004F1662"/>
    <w:rsid w:val="004F2116"/>
    <w:rsid w:val="004F3EFC"/>
    <w:rsid w:val="004F418B"/>
    <w:rsid w:val="004F4AEC"/>
    <w:rsid w:val="004F51D0"/>
    <w:rsid w:val="00504968"/>
    <w:rsid w:val="0050758C"/>
    <w:rsid w:val="00513CBF"/>
    <w:rsid w:val="00517E7C"/>
    <w:rsid w:val="00525C88"/>
    <w:rsid w:val="005347EB"/>
    <w:rsid w:val="0053543C"/>
    <w:rsid w:val="00535D66"/>
    <w:rsid w:val="00536C87"/>
    <w:rsid w:val="00542CE4"/>
    <w:rsid w:val="00552424"/>
    <w:rsid w:val="00552C6A"/>
    <w:rsid w:val="00557A12"/>
    <w:rsid w:val="005624E7"/>
    <w:rsid w:val="00562E10"/>
    <w:rsid w:val="0056306C"/>
    <w:rsid w:val="00567811"/>
    <w:rsid w:val="00577478"/>
    <w:rsid w:val="005841EB"/>
    <w:rsid w:val="0059035D"/>
    <w:rsid w:val="005934D3"/>
    <w:rsid w:val="0059622F"/>
    <w:rsid w:val="005A259C"/>
    <w:rsid w:val="005A39A2"/>
    <w:rsid w:val="005A507B"/>
    <w:rsid w:val="005A56F9"/>
    <w:rsid w:val="005B3C75"/>
    <w:rsid w:val="005B55D3"/>
    <w:rsid w:val="005C72AE"/>
    <w:rsid w:val="005C7921"/>
    <w:rsid w:val="005C7A07"/>
    <w:rsid w:val="005D2C27"/>
    <w:rsid w:val="005D5BB7"/>
    <w:rsid w:val="005E225F"/>
    <w:rsid w:val="005E3C4A"/>
    <w:rsid w:val="005E7AC0"/>
    <w:rsid w:val="005F0AB4"/>
    <w:rsid w:val="00600BB3"/>
    <w:rsid w:val="00604330"/>
    <w:rsid w:val="00604B9A"/>
    <w:rsid w:val="00614772"/>
    <w:rsid w:val="00620011"/>
    <w:rsid w:val="00620C1A"/>
    <w:rsid w:val="006242EA"/>
    <w:rsid w:val="00626616"/>
    <w:rsid w:val="00627D8E"/>
    <w:rsid w:val="00635AB0"/>
    <w:rsid w:val="0063705A"/>
    <w:rsid w:val="006558EC"/>
    <w:rsid w:val="00665CEB"/>
    <w:rsid w:val="00680173"/>
    <w:rsid w:val="00683EA0"/>
    <w:rsid w:val="006A297B"/>
    <w:rsid w:val="006B0F68"/>
    <w:rsid w:val="006B2655"/>
    <w:rsid w:val="006C4ED6"/>
    <w:rsid w:val="006C5AA4"/>
    <w:rsid w:val="006C7A48"/>
    <w:rsid w:val="006D329E"/>
    <w:rsid w:val="006F4CB7"/>
    <w:rsid w:val="006F6767"/>
    <w:rsid w:val="006F70D5"/>
    <w:rsid w:val="006F7FFA"/>
    <w:rsid w:val="00702355"/>
    <w:rsid w:val="00706522"/>
    <w:rsid w:val="0070692A"/>
    <w:rsid w:val="00711383"/>
    <w:rsid w:val="007169A9"/>
    <w:rsid w:val="007201CF"/>
    <w:rsid w:val="007231D4"/>
    <w:rsid w:val="007239B7"/>
    <w:rsid w:val="00737A40"/>
    <w:rsid w:val="00740773"/>
    <w:rsid w:val="007419C2"/>
    <w:rsid w:val="00741F66"/>
    <w:rsid w:val="00745692"/>
    <w:rsid w:val="00750FB7"/>
    <w:rsid w:val="00753F80"/>
    <w:rsid w:val="0077491D"/>
    <w:rsid w:val="00775188"/>
    <w:rsid w:val="00775473"/>
    <w:rsid w:val="00781042"/>
    <w:rsid w:val="00783E31"/>
    <w:rsid w:val="007906BF"/>
    <w:rsid w:val="007915A0"/>
    <w:rsid w:val="00796AAF"/>
    <w:rsid w:val="007A44B7"/>
    <w:rsid w:val="007A5833"/>
    <w:rsid w:val="007A766A"/>
    <w:rsid w:val="007B1DB7"/>
    <w:rsid w:val="007B2FE1"/>
    <w:rsid w:val="007B691A"/>
    <w:rsid w:val="007C2DE4"/>
    <w:rsid w:val="007C2E89"/>
    <w:rsid w:val="007C74B6"/>
    <w:rsid w:val="007D136F"/>
    <w:rsid w:val="007E1B6D"/>
    <w:rsid w:val="007E2DE2"/>
    <w:rsid w:val="007E4658"/>
    <w:rsid w:val="007E7219"/>
    <w:rsid w:val="007F094A"/>
    <w:rsid w:val="007F1561"/>
    <w:rsid w:val="007F2E2C"/>
    <w:rsid w:val="007F4122"/>
    <w:rsid w:val="0080005C"/>
    <w:rsid w:val="00803A26"/>
    <w:rsid w:val="008117E1"/>
    <w:rsid w:val="00811FCD"/>
    <w:rsid w:val="008246ED"/>
    <w:rsid w:val="008361E7"/>
    <w:rsid w:val="008379B2"/>
    <w:rsid w:val="00840704"/>
    <w:rsid w:val="00841E26"/>
    <w:rsid w:val="0084519E"/>
    <w:rsid w:val="00851603"/>
    <w:rsid w:val="008547EC"/>
    <w:rsid w:val="0086245E"/>
    <w:rsid w:val="008632EB"/>
    <w:rsid w:val="008635AD"/>
    <w:rsid w:val="00864832"/>
    <w:rsid w:val="008678A4"/>
    <w:rsid w:val="00881DF6"/>
    <w:rsid w:val="00882A0A"/>
    <w:rsid w:val="0088676D"/>
    <w:rsid w:val="00887279"/>
    <w:rsid w:val="00891B8A"/>
    <w:rsid w:val="00894173"/>
    <w:rsid w:val="00895C2E"/>
    <w:rsid w:val="008A010A"/>
    <w:rsid w:val="008A1E31"/>
    <w:rsid w:val="008A4778"/>
    <w:rsid w:val="008A55DC"/>
    <w:rsid w:val="008A6EC0"/>
    <w:rsid w:val="008B1382"/>
    <w:rsid w:val="008B138A"/>
    <w:rsid w:val="008C59E7"/>
    <w:rsid w:val="008C6310"/>
    <w:rsid w:val="008C74C3"/>
    <w:rsid w:val="008C7542"/>
    <w:rsid w:val="008D13E3"/>
    <w:rsid w:val="008D337B"/>
    <w:rsid w:val="008D7B58"/>
    <w:rsid w:val="008E02C3"/>
    <w:rsid w:val="008E1EB5"/>
    <w:rsid w:val="008F26C6"/>
    <w:rsid w:val="008F61B8"/>
    <w:rsid w:val="009003AA"/>
    <w:rsid w:val="0090140D"/>
    <w:rsid w:val="00903886"/>
    <w:rsid w:val="00905E10"/>
    <w:rsid w:val="00907484"/>
    <w:rsid w:val="009168AA"/>
    <w:rsid w:val="00916A0C"/>
    <w:rsid w:val="00927D3E"/>
    <w:rsid w:val="00931665"/>
    <w:rsid w:val="00933D73"/>
    <w:rsid w:val="009376B6"/>
    <w:rsid w:val="00951F8A"/>
    <w:rsid w:val="00956DF5"/>
    <w:rsid w:val="00960E97"/>
    <w:rsid w:val="009612C9"/>
    <w:rsid w:val="00961760"/>
    <w:rsid w:val="00962E3D"/>
    <w:rsid w:val="00965E3D"/>
    <w:rsid w:val="0097011E"/>
    <w:rsid w:val="009749DA"/>
    <w:rsid w:val="0098225C"/>
    <w:rsid w:val="00992FF9"/>
    <w:rsid w:val="009A0A1A"/>
    <w:rsid w:val="009A672F"/>
    <w:rsid w:val="009B3936"/>
    <w:rsid w:val="009C2BE4"/>
    <w:rsid w:val="009C317B"/>
    <w:rsid w:val="009D5718"/>
    <w:rsid w:val="009D6C6B"/>
    <w:rsid w:val="009D736A"/>
    <w:rsid w:val="009E4881"/>
    <w:rsid w:val="009E729E"/>
    <w:rsid w:val="009E7D7C"/>
    <w:rsid w:val="009F4818"/>
    <w:rsid w:val="009F4AF8"/>
    <w:rsid w:val="009F5DA1"/>
    <w:rsid w:val="009F763D"/>
    <w:rsid w:val="00A01EB5"/>
    <w:rsid w:val="00A03477"/>
    <w:rsid w:val="00A035B7"/>
    <w:rsid w:val="00A10016"/>
    <w:rsid w:val="00A1182F"/>
    <w:rsid w:val="00A11D7F"/>
    <w:rsid w:val="00A120E0"/>
    <w:rsid w:val="00A158A1"/>
    <w:rsid w:val="00A16FBE"/>
    <w:rsid w:val="00A304F2"/>
    <w:rsid w:val="00A3088A"/>
    <w:rsid w:val="00A34628"/>
    <w:rsid w:val="00A352BC"/>
    <w:rsid w:val="00A37D7A"/>
    <w:rsid w:val="00A37DC2"/>
    <w:rsid w:val="00A45B90"/>
    <w:rsid w:val="00A500A4"/>
    <w:rsid w:val="00A519DD"/>
    <w:rsid w:val="00A53145"/>
    <w:rsid w:val="00A57E22"/>
    <w:rsid w:val="00A60753"/>
    <w:rsid w:val="00A63766"/>
    <w:rsid w:val="00A725B2"/>
    <w:rsid w:val="00A726E9"/>
    <w:rsid w:val="00A75BA0"/>
    <w:rsid w:val="00A8681E"/>
    <w:rsid w:val="00A9029A"/>
    <w:rsid w:val="00A9228B"/>
    <w:rsid w:val="00A95168"/>
    <w:rsid w:val="00AE33C9"/>
    <w:rsid w:val="00AF1D5B"/>
    <w:rsid w:val="00AF30A9"/>
    <w:rsid w:val="00B009B0"/>
    <w:rsid w:val="00B0233A"/>
    <w:rsid w:val="00B032B8"/>
    <w:rsid w:val="00B06661"/>
    <w:rsid w:val="00B10EE6"/>
    <w:rsid w:val="00B13038"/>
    <w:rsid w:val="00B159E3"/>
    <w:rsid w:val="00B2599C"/>
    <w:rsid w:val="00B32E22"/>
    <w:rsid w:val="00B34365"/>
    <w:rsid w:val="00B36008"/>
    <w:rsid w:val="00B41BAD"/>
    <w:rsid w:val="00B450B5"/>
    <w:rsid w:val="00B51782"/>
    <w:rsid w:val="00B52760"/>
    <w:rsid w:val="00B54833"/>
    <w:rsid w:val="00B60965"/>
    <w:rsid w:val="00B6533B"/>
    <w:rsid w:val="00B66729"/>
    <w:rsid w:val="00B71225"/>
    <w:rsid w:val="00B7131B"/>
    <w:rsid w:val="00B71553"/>
    <w:rsid w:val="00B72518"/>
    <w:rsid w:val="00B72AEB"/>
    <w:rsid w:val="00B763EE"/>
    <w:rsid w:val="00B767CC"/>
    <w:rsid w:val="00B77DF7"/>
    <w:rsid w:val="00B80361"/>
    <w:rsid w:val="00B80E63"/>
    <w:rsid w:val="00B81AA4"/>
    <w:rsid w:val="00B85F00"/>
    <w:rsid w:val="00B92600"/>
    <w:rsid w:val="00B9477C"/>
    <w:rsid w:val="00B97969"/>
    <w:rsid w:val="00BA1C27"/>
    <w:rsid w:val="00BA298B"/>
    <w:rsid w:val="00BA67FB"/>
    <w:rsid w:val="00BC41FD"/>
    <w:rsid w:val="00BD56F2"/>
    <w:rsid w:val="00BD712A"/>
    <w:rsid w:val="00BE66E7"/>
    <w:rsid w:val="00BF0975"/>
    <w:rsid w:val="00BF4347"/>
    <w:rsid w:val="00BF5816"/>
    <w:rsid w:val="00BF61BE"/>
    <w:rsid w:val="00BF75AA"/>
    <w:rsid w:val="00C00B0C"/>
    <w:rsid w:val="00C02B59"/>
    <w:rsid w:val="00C201A0"/>
    <w:rsid w:val="00C259E0"/>
    <w:rsid w:val="00C419FB"/>
    <w:rsid w:val="00C434A0"/>
    <w:rsid w:val="00C471F3"/>
    <w:rsid w:val="00C72CEB"/>
    <w:rsid w:val="00C7630A"/>
    <w:rsid w:val="00C8373F"/>
    <w:rsid w:val="00C87734"/>
    <w:rsid w:val="00C91A2F"/>
    <w:rsid w:val="00C947B6"/>
    <w:rsid w:val="00C97BF2"/>
    <w:rsid w:val="00CA2B99"/>
    <w:rsid w:val="00CB04A3"/>
    <w:rsid w:val="00CB7695"/>
    <w:rsid w:val="00CD604B"/>
    <w:rsid w:val="00CD6F95"/>
    <w:rsid w:val="00CE0581"/>
    <w:rsid w:val="00CE2B2F"/>
    <w:rsid w:val="00CE44F6"/>
    <w:rsid w:val="00CE6552"/>
    <w:rsid w:val="00CF0B9D"/>
    <w:rsid w:val="00CF16D9"/>
    <w:rsid w:val="00CF3451"/>
    <w:rsid w:val="00CF5F7D"/>
    <w:rsid w:val="00CF676A"/>
    <w:rsid w:val="00CF75EB"/>
    <w:rsid w:val="00CF78C3"/>
    <w:rsid w:val="00D30D5C"/>
    <w:rsid w:val="00D321B2"/>
    <w:rsid w:val="00D324A2"/>
    <w:rsid w:val="00D351B6"/>
    <w:rsid w:val="00D40701"/>
    <w:rsid w:val="00D440FB"/>
    <w:rsid w:val="00D45C1C"/>
    <w:rsid w:val="00D47429"/>
    <w:rsid w:val="00D47FD4"/>
    <w:rsid w:val="00D51BC1"/>
    <w:rsid w:val="00D60DD4"/>
    <w:rsid w:val="00D6263E"/>
    <w:rsid w:val="00D64FED"/>
    <w:rsid w:val="00D66D84"/>
    <w:rsid w:val="00D77997"/>
    <w:rsid w:val="00D83172"/>
    <w:rsid w:val="00D912B6"/>
    <w:rsid w:val="00D97068"/>
    <w:rsid w:val="00D97AD1"/>
    <w:rsid w:val="00D97B2A"/>
    <w:rsid w:val="00DA29A4"/>
    <w:rsid w:val="00DA337A"/>
    <w:rsid w:val="00DA6D88"/>
    <w:rsid w:val="00DB04F1"/>
    <w:rsid w:val="00DB1667"/>
    <w:rsid w:val="00DB4123"/>
    <w:rsid w:val="00DC16F4"/>
    <w:rsid w:val="00DC3A43"/>
    <w:rsid w:val="00DC4A99"/>
    <w:rsid w:val="00DC5BE0"/>
    <w:rsid w:val="00DD5C36"/>
    <w:rsid w:val="00DD714E"/>
    <w:rsid w:val="00DE4F4F"/>
    <w:rsid w:val="00DF2DBB"/>
    <w:rsid w:val="00DF454D"/>
    <w:rsid w:val="00E02924"/>
    <w:rsid w:val="00E03930"/>
    <w:rsid w:val="00E077FF"/>
    <w:rsid w:val="00E10F62"/>
    <w:rsid w:val="00E131F4"/>
    <w:rsid w:val="00E17E28"/>
    <w:rsid w:val="00E32281"/>
    <w:rsid w:val="00E323B8"/>
    <w:rsid w:val="00E32B65"/>
    <w:rsid w:val="00E35472"/>
    <w:rsid w:val="00E37D33"/>
    <w:rsid w:val="00E43F58"/>
    <w:rsid w:val="00E455B8"/>
    <w:rsid w:val="00E53886"/>
    <w:rsid w:val="00E55B7A"/>
    <w:rsid w:val="00E626E8"/>
    <w:rsid w:val="00E65DAE"/>
    <w:rsid w:val="00E6679D"/>
    <w:rsid w:val="00E67A41"/>
    <w:rsid w:val="00E74681"/>
    <w:rsid w:val="00E75233"/>
    <w:rsid w:val="00E76F7E"/>
    <w:rsid w:val="00E848D8"/>
    <w:rsid w:val="00E86BDD"/>
    <w:rsid w:val="00E906E9"/>
    <w:rsid w:val="00E97F02"/>
    <w:rsid w:val="00EA14A7"/>
    <w:rsid w:val="00EA3692"/>
    <w:rsid w:val="00EA608E"/>
    <w:rsid w:val="00EC17FD"/>
    <w:rsid w:val="00EC68A1"/>
    <w:rsid w:val="00EC6A64"/>
    <w:rsid w:val="00EC780B"/>
    <w:rsid w:val="00ED20E1"/>
    <w:rsid w:val="00ED50D9"/>
    <w:rsid w:val="00EE19FF"/>
    <w:rsid w:val="00EE4D62"/>
    <w:rsid w:val="00EF4CFB"/>
    <w:rsid w:val="00EF7296"/>
    <w:rsid w:val="00F01159"/>
    <w:rsid w:val="00F0263A"/>
    <w:rsid w:val="00F04A8B"/>
    <w:rsid w:val="00F062F1"/>
    <w:rsid w:val="00F06DDA"/>
    <w:rsid w:val="00F10CE0"/>
    <w:rsid w:val="00F12FCF"/>
    <w:rsid w:val="00F1715F"/>
    <w:rsid w:val="00F22FA2"/>
    <w:rsid w:val="00F27B93"/>
    <w:rsid w:val="00F31084"/>
    <w:rsid w:val="00F31135"/>
    <w:rsid w:val="00F333C7"/>
    <w:rsid w:val="00F34B57"/>
    <w:rsid w:val="00F405EC"/>
    <w:rsid w:val="00F52B43"/>
    <w:rsid w:val="00F616AF"/>
    <w:rsid w:val="00F65C05"/>
    <w:rsid w:val="00F66CBF"/>
    <w:rsid w:val="00F757E6"/>
    <w:rsid w:val="00F81223"/>
    <w:rsid w:val="00F83D21"/>
    <w:rsid w:val="00F90438"/>
    <w:rsid w:val="00FA062E"/>
    <w:rsid w:val="00FA6653"/>
    <w:rsid w:val="00FB435B"/>
    <w:rsid w:val="00FD2535"/>
    <w:rsid w:val="00FD3770"/>
    <w:rsid w:val="00FF60D7"/>
    <w:rsid w:val="00FF7D40"/>
    <w:rsid w:val="03FF1B50"/>
    <w:rsid w:val="048EAC41"/>
    <w:rsid w:val="08003DF4"/>
    <w:rsid w:val="0891EA08"/>
    <w:rsid w:val="0EAC1B00"/>
    <w:rsid w:val="1C1D012F"/>
    <w:rsid w:val="2671D05D"/>
    <w:rsid w:val="2B096377"/>
    <w:rsid w:val="2B300607"/>
    <w:rsid w:val="3B0F0F35"/>
    <w:rsid w:val="3B4CED8C"/>
    <w:rsid w:val="42839F02"/>
    <w:rsid w:val="47E7931A"/>
    <w:rsid w:val="513206C4"/>
    <w:rsid w:val="555A60CA"/>
    <w:rsid w:val="56E583CE"/>
    <w:rsid w:val="58A24969"/>
    <w:rsid w:val="5F0F0C43"/>
    <w:rsid w:val="5FD3ADF2"/>
    <w:rsid w:val="6190890B"/>
    <w:rsid w:val="61A837BF"/>
    <w:rsid w:val="697122DA"/>
    <w:rsid w:val="6B37A60C"/>
    <w:rsid w:val="71A94246"/>
    <w:rsid w:val="79D54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E53886"/>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link w:val="EndnoteTextChar"/>
    <w:uiPriority w:val="99"/>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A9228B"/>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E53886"/>
    <w:rPr>
      <w:sz w:val="20"/>
    </w:rPr>
  </w:style>
  <w:style w:type="character" w:styleId="CommentReference">
    <w:name w:val="annotation reference"/>
    <w:basedOn w:val="DefaultParagraphFont"/>
    <w:uiPriority w:val="99"/>
    <w:semiHidden/>
    <w:unhideWhenUsed/>
    <w:locked/>
    <w:rsid w:val="00E53886"/>
    <w:rPr>
      <w:sz w:val="16"/>
      <w:szCs w:val="16"/>
    </w:rPr>
  </w:style>
  <w:style w:type="paragraph" w:styleId="CommentText">
    <w:name w:val="annotation text"/>
    <w:basedOn w:val="Normal"/>
    <w:link w:val="CommentTextChar"/>
    <w:uiPriority w:val="99"/>
    <w:unhideWhenUsed/>
    <w:locked/>
    <w:rsid w:val="00E53886"/>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E53886"/>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E53886"/>
    <w:rPr>
      <w:vertAlign w:val="superscript"/>
    </w:rPr>
  </w:style>
  <w:style w:type="character" w:customStyle="1" w:styleId="TitleChar">
    <w:name w:val="Title Char"/>
    <w:basedOn w:val="DefaultParagraphFont"/>
    <w:link w:val="Title"/>
    <w:uiPriority w:val="10"/>
    <w:rsid w:val="00E53886"/>
    <w:rPr>
      <w:b/>
      <w:kern w:val="28"/>
      <w:sz w:val="48"/>
    </w:rPr>
  </w:style>
  <w:style w:type="table" w:styleId="GridTable7Colorful-Accent6">
    <w:name w:val="Grid Table 7 Colorful Accent 6"/>
    <w:basedOn w:val="TableNormal"/>
    <w:uiPriority w:val="52"/>
    <w:locked/>
    <w:rsid w:val="00E53886"/>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E53886"/>
    <w:rPr>
      <w:b/>
      <w:smallCaps/>
    </w:rPr>
  </w:style>
  <w:style w:type="character" w:customStyle="1" w:styleId="Heading2Char">
    <w:name w:val="Heading 2 Char"/>
    <w:basedOn w:val="DefaultParagraphFont"/>
    <w:link w:val="Heading2"/>
    <w:uiPriority w:val="9"/>
    <w:rsid w:val="00E53886"/>
    <w:rPr>
      <w:b/>
    </w:rPr>
  </w:style>
  <w:style w:type="character" w:customStyle="1" w:styleId="Heading3Char">
    <w:name w:val="Heading 3 Char"/>
    <w:basedOn w:val="DefaultParagraphFont"/>
    <w:link w:val="Heading3"/>
    <w:uiPriority w:val="9"/>
    <w:rsid w:val="00E53886"/>
    <w:rPr>
      <w:i/>
    </w:rPr>
  </w:style>
  <w:style w:type="character" w:customStyle="1" w:styleId="Heading4Char">
    <w:name w:val="Heading 4 Char"/>
    <w:basedOn w:val="DefaultParagraphFont"/>
    <w:link w:val="Heading4"/>
    <w:uiPriority w:val="9"/>
    <w:rsid w:val="00E53886"/>
  </w:style>
  <w:style w:type="character" w:customStyle="1" w:styleId="Heading5Char">
    <w:name w:val="Heading 5 Char"/>
    <w:basedOn w:val="DefaultParagraphFont"/>
    <w:link w:val="Heading5"/>
    <w:uiPriority w:val="9"/>
    <w:semiHidden/>
    <w:rsid w:val="00E53886"/>
  </w:style>
  <w:style w:type="character" w:customStyle="1" w:styleId="Heading6Char">
    <w:name w:val="Heading 6 Char"/>
    <w:basedOn w:val="DefaultParagraphFont"/>
    <w:link w:val="Heading6"/>
    <w:uiPriority w:val="9"/>
    <w:semiHidden/>
    <w:rsid w:val="00E53886"/>
  </w:style>
  <w:style w:type="character" w:customStyle="1" w:styleId="Heading7Char">
    <w:name w:val="Heading 7 Char"/>
    <w:basedOn w:val="DefaultParagraphFont"/>
    <w:link w:val="Heading7"/>
    <w:uiPriority w:val="9"/>
    <w:semiHidden/>
    <w:rsid w:val="00E53886"/>
  </w:style>
  <w:style w:type="character" w:customStyle="1" w:styleId="Heading8Char">
    <w:name w:val="Heading 8 Char"/>
    <w:basedOn w:val="DefaultParagraphFont"/>
    <w:link w:val="Heading8"/>
    <w:uiPriority w:val="9"/>
    <w:semiHidden/>
    <w:rsid w:val="00E53886"/>
  </w:style>
  <w:style w:type="character" w:customStyle="1" w:styleId="Heading9Char">
    <w:name w:val="Heading 9 Char"/>
    <w:basedOn w:val="DefaultParagraphFont"/>
    <w:link w:val="Heading9"/>
    <w:uiPriority w:val="9"/>
    <w:semiHidden/>
    <w:rsid w:val="00E53886"/>
  </w:style>
  <w:style w:type="paragraph" w:customStyle="1" w:styleId="FootnoteRoLReport">
    <w:name w:val="Footnote RoL Report"/>
    <w:basedOn w:val="FootnoteText"/>
    <w:link w:val="FootnoteRoLReportChar"/>
    <w:autoRedefine/>
    <w:qFormat/>
    <w:rsid w:val="00E53886"/>
    <w:pPr>
      <w:ind w:left="270" w:hanging="270"/>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E53886"/>
    <w:rPr>
      <w:rFonts w:eastAsiaTheme="minorHAnsi" w:cstheme="minorBidi"/>
      <w:sz w:val="20"/>
      <w:lang w:val="en-US" w:eastAsia="en-US"/>
    </w:rPr>
  </w:style>
  <w:style w:type="paragraph" w:styleId="ListParagraph">
    <w:name w:val="List Paragraph"/>
    <w:basedOn w:val="Normal"/>
    <w:uiPriority w:val="34"/>
    <w:qFormat/>
    <w:locked/>
    <w:rsid w:val="00E53886"/>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E53886"/>
    <w:rPr>
      <w:color w:val="0563C1" w:themeColor="hyperlink"/>
      <w:u w:val="single"/>
    </w:rPr>
  </w:style>
  <w:style w:type="character" w:customStyle="1" w:styleId="UnresolvedMention">
    <w:name w:val="Unresolved Mention"/>
    <w:basedOn w:val="DefaultParagraphFont"/>
    <w:uiPriority w:val="99"/>
    <w:semiHidden/>
    <w:unhideWhenUsed/>
    <w:rsid w:val="00E53886"/>
    <w:rPr>
      <w:color w:val="605E5C"/>
      <w:shd w:val="clear" w:color="auto" w:fill="E1DFDD"/>
    </w:rPr>
  </w:style>
  <w:style w:type="character" w:customStyle="1" w:styleId="Footnote1">
    <w:name w:val="Footnote|1_"/>
    <w:basedOn w:val="DefaultParagraphFont"/>
    <w:link w:val="Footnote10"/>
    <w:rsid w:val="00E53886"/>
    <w:rPr>
      <w:sz w:val="20"/>
    </w:rPr>
  </w:style>
  <w:style w:type="character" w:customStyle="1" w:styleId="Bodytext1">
    <w:name w:val="Body text|1_"/>
    <w:basedOn w:val="DefaultParagraphFont"/>
    <w:link w:val="Bodytext10"/>
    <w:rsid w:val="00E53886"/>
  </w:style>
  <w:style w:type="paragraph" w:customStyle="1" w:styleId="Footnote10">
    <w:name w:val="Footnote|1"/>
    <w:basedOn w:val="Normal"/>
    <w:link w:val="Footnote1"/>
    <w:rsid w:val="00E53886"/>
    <w:pPr>
      <w:widowControl w:val="0"/>
      <w:spacing w:after="0"/>
      <w:ind w:left="380" w:hanging="380"/>
      <w:jc w:val="left"/>
    </w:pPr>
    <w:rPr>
      <w:sz w:val="20"/>
    </w:rPr>
  </w:style>
  <w:style w:type="paragraph" w:customStyle="1" w:styleId="Bodytext10">
    <w:name w:val="Body text|1"/>
    <w:basedOn w:val="Normal"/>
    <w:link w:val="Bodytext1"/>
    <w:rsid w:val="00E53886"/>
    <w:pPr>
      <w:widowControl w:val="0"/>
      <w:spacing w:after="220"/>
      <w:jc w:val="left"/>
    </w:pPr>
  </w:style>
  <w:style w:type="paragraph" w:styleId="CommentSubject">
    <w:name w:val="annotation subject"/>
    <w:basedOn w:val="CommentText"/>
    <w:next w:val="CommentText"/>
    <w:link w:val="CommentSubjectChar"/>
    <w:uiPriority w:val="99"/>
    <w:semiHidden/>
    <w:unhideWhenUsed/>
    <w:locked/>
    <w:rsid w:val="00E53886"/>
    <w:rPr>
      <w:b/>
      <w:bCs/>
    </w:rPr>
  </w:style>
  <w:style w:type="character" w:customStyle="1" w:styleId="CommentSubjectChar">
    <w:name w:val="Comment Subject Char"/>
    <w:basedOn w:val="CommentTextChar"/>
    <w:link w:val="CommentSubject"/>
    <w:uiPriority w:val="99"/>
    <w:semiHidden/>
    <w:rsid w:val="00E53886"/>
    <w:rPr>
      <w:rFonts w:eastAsiaTheme="minorHAnsi" w:cstheme="minorBidi"/>
      <w:b/>
      <w:bCs/>
      <w:sz w:val="20"/>
      <w:lang w:val="en-US" w:eastAsia="en-US"/>
    </w:rPr>
  </w:style>
  <w:style w:type="paragraph" w:styleId="Revision">
    <w:name w:val="Revision"/>
    <w:hidden/>
    <w:uiPriority w:val="99"/>
    <w:semiHidden/>
    <w:locked/>
    <w:rsid w:val="00E53886"/>
    <w:rPr>
      <w:rFonts w:eastAsiaTheme="minorHAnsi" w:cstheme="minorBidi"/>
      <w:szCs w:val="22"/>
      <w:lang w:val="en-US" w:eastAsia="en-US"/>
    </w:rPr>
  </w:style>
  <w:style w:type="character" w:styleId="FollowedHyperlink">
    <w:name w:val="FollowedHyperlink"/>
    <w:basedOn w:val="DefaultParagraphFont"/>
    <w:uiPriority w:val="99"/>
    <w:semiHidden/>
    <w:unhideWhenUsed/>
    <w:locked/>
    <w:rsid w:val="00E53886"/>
    <w:rPr>
      <w:color w:val="954F72" w:themeColor="followedHyperlink"/>
      <w:u w:val="single"/>
    </w:rPr>
  </w:style>
  <w:style w:type="character" w:customStyle="1" w:styleId="Mention">
    <w:name w:val="Mention"/>
    <w:basedOn w:val="DefaultParagraphFont"/>
    <w:uiPriority w:val="99"/>
    <w:unhideWhenUsed/>
    <w:rsid w:val="00E53886"/>
    <w:rPr>
      <w:color w:val="2B579A"/>
      <w:shd w:val="clear" w:color="auto" w:fill="E1DFDD"/>
    </w:rPr>
  </w:style>
  <w:style w:type="character" w:customStyle="1" w:styleId="EndnoteTextChar">
    <w:name w:val="Endnote Text Char"/>
    <w:basedOn w:val="DefaultParagraphFont"/>
    <w:link w:val="EndnoteText"/>
    <w:uiPriority w:val="99"/>
    <w:semiHidden/>
    <w:rsid w:val="00E53886"/>
    <w:rPr>
      <w:sz w:val="20"/>
    </w:rPr>
  </w:style>
  <w:style w:type="character" w:styleId="EndnoteReference">
    <w:name w:val="endnote reference"/>
    <w:basedOn w:val="DefaultParagraphFont"/>
    <w:uiPriority w:val="99"/>
    <w:semiHidden/>
    <w:unhideWhenUsed/>
    <w:locked/>
    <w:rsid w:val="00E53886"/>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53886"/>
    <w:pPr>
      <w:spacing w:after="160" w:line="240" w:lineRule="exact"/>
    </w:pPr>
    <w:rPr>
      <w:vertAlign w:val="superscript"/>
    </w:rPr>
  </w:style>
  <w:style w:type="character" w:customStyle="1" w:styleId="FootnoteTextChar1">
    <w:name w:val="Footnote Text Char1"/>
    <w:basedOn w:val="DefaultParagraphFont"/>
    <w:uiPriority w:val="99"/>
    <w:semiHidden/>
    <w:rsid w:val="00E53886"/>
    <w:rPr>
      <w:sz w:val="20"/>
      <w:szCs w:val="20"/>
    </w:rPr>
  </w:style>
  <w:style w:type="paragraph" w:styleId="NormalWeb">
    <w:name w:val="Normal (Web)"/>
    <w:basedOn w:val="Normal"/>
    <w:uiPriority w:val="99"/>
    <w:semiHidden/>
    <w:unhideWhenUsed/>
    <w:locked/>
    <w:rsid w:val="00E53886"/>
    <w:rPr>
      <w:rFonts w:eastAsiaTheme="minorHAnsi"/>
      <w:szCs w:val="24"/>
      <w:lang w:val="en-US" w:eastAsia="en-US"/>
    </w:rPr>
  </w:style>
  <w:style w:type="paragraph" w:customStyle="1" w:styleId="Disclaimer">
    <w:name w:val="Disclaimer"/>
    <w:basedOn w:val="Normal"/>
    <w:rsid w:val="00A922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A9228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A9228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A9228B"/>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chd.lu/en/dossier/7992" TargetMode="External"/><Relationship Id="rId39" Type="http://schemas.openxmlformats.org/officeDocument/2006/relationships/hyperlink" Target="https://rm.coe.int/2025-annual-report/48802b1633" TargetMode="External"/><Relationship Id="rId21" Type="http://schemas.openxmlformats.org/officeDocument/2006/relationships/footer" Target="footer3.xml"/><Relationship Id="rId34" Type="http://schemas.openxmlformats.org/officeDocument/2006/relationships/hyperlink" Target="https://wdocs-pub.chd.lu/docs/Motions_Resolutions/Resolution_4635/20251029_Depot.pdf" TargetMode="External"/><Relationship Id="rId42" Type="http://schemas.openxmlformats.org/officeDocument/2006/relationships/hyperlink" Target="https://wdocs-pub.chd.lu/docs/Dossiers_parlementaires/8447/20251202_Avis_2.pdf" TargetMode="External"/><Relationship Id="rId47" Type="http://schemas.openxmlformats.org/officeDocument/2006/relationships/hyperlink" Target="https://rule-of-law.ennhri.org/node/335" TargetMode="External"/><Relationship Id="rId50" Type="http://schemas.openxmlformats.org/officeDocument/2006/relationships/hyperlink" Target="https://legilux.public.lu/eli/etat/leg/loi/2025/12/12/a556/jo" TargetMode="External"/><Relationship Id="rId55" Type="http://schemas.openxmlformats.org/officeDocument/2006/relationships/hyperlink" Target="https://cnj.public.lu/fr/publications/avis-cnj-pl8599.html" TargetMode="External"/><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hd.lu/en/dossier/842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cdm.lu/procedures-internes" TargetMode="External"/><Relationship Id="rId32" Type="http://schemas.openxmlformats.org/officeDocument/2006/relationships/hyperlink" Target="https://www.chd.lu/de/dossier/8625" TargetMode="External"/><Relationship Id="rId37" Type="http://schemas.openxmlformats.org/officeDocument/2006/relationships/hyperlink" Target="https://www.chd.lu/en/dossier/8696" TargetMode="External"/><Relationship Id="rId40" Type="http://schemas.openxmlformats.org/officeDocument/2006/relationships/hyperlink" Target="https://conseil-etat.public.lu/content/dam/conseil_etat/fr/avis/2024/12112024/61112-avis-du-12-novembre-2024.pdf" TargetMode="External"/><Relationship Id="rId45" Type="http://schemas.openxmlformats.org/officeDocument/2006/relationships/hyperlink" Target="https://commission.europa.eu/document/download/38e15783-3aca-434e-83e8-26ba0a90fc7c_en?filename=20_1_63953_coun_chap_luxembourg_en.pdf" TargetMode="External"/><Relationship Id="rId53" Type="http://schemas.openxmlformats.org/officeDocument/2006/relationships/hyperlink" Target="https://legilux.public.lu/filestore/eli/dl/pl/2026/34/evenement/avis/7/doc/davoc/1/fr/pdf/eli-dl-pl-2026-34-evenement-avis-7-doc-davoc-1-fr-pdf.pdf" TargetMode="External"/><Relationship Id="rId58" Type="http://schemas.openxmlformats.org/officeDocument/2006/relationships/hyperlink" Target="https://www.oecd.org/en/publications/2024/03/implementing-the-oecd-anti-bribery-convention-in-luxembourg_43a6beb2.html" TargetMode="Externa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legilux.public.lu/filestore/eli/dl/pl/2026/34/evenement/avis/5/doc/davoc/1/fr/pdf/eli-dl-pl-2026-34-evenement-avis-5-doc-davoc-1-fr-pdf.pdf" TargetMode="External"/><Relationship Id="rId28" Type="http://schemas.openxmlformats.org/officeDocument/2006/relationships/hyperlink" Target="https://www.chd.lu/fr/dossier/8447" TargetMode="External"/><Relationship Id="rId36" Type="http://schemas.openxmlformats.org/officeDocument/2006/relationships/hyperlink" Target="https://www.chd.lu/en/dossier/8694" TargetMode="External"/><Relationship Id="rId49" Type="http://schemas.openxmlformats.org/officeDocument/2006/relationships/hyperlink" Target="https://legilux.public.lu/eli/etat/leg/loi/2025/11/28/a525/jo" TargetMode="External"/><Relationship Id="rId57" Type="http://schemas.openxmlformats.org/officeDocument/2006/relationships/hyperlink" Target="https://cnj.public.lu/fr/publications/recommandation4.html" TargetMode="External"/><Relationship Id="rId61" Type="http://schemas.openxmlformats.org/officeDocument/2006/relationships/hyperlink" Target="https://gouvernement.lu/dam-assets/publications/rapport-activite/minist-justice/osig/rapport-annuel-osig-2024-vf.pdf" TargetMode="Externa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chd.lu/en/dossier/8501" TargetMode="External"/><Relationship Id="rId44" Type="http://schemas.openxmlformats.org/officeDocument/2006/relationships/hyperlink" Target="https://www.chd.lu/fr/rapport-special-cour-des-comptes-finances-sensibilite-politique-piraten-2018-2023" TargetMode="External"/><Relationship Id="rId52" Type="http://schemas.openxmlformats.org/officeDocument/2006/relationships/hyperlink" Target="https://smc.gouvernement.lu/dam-assets/dossiers/plan-daction-journalistes/mie-254763-brochure-web-en.pdf" TargetMode="External"/><Relationship Id="rId60" Type="http://schemas.openxmlformats.org/officeDocument/2006/relationships/hyperlink" Target="https://wdocs-pub.chd.lu/docs/Dossiers_parlementaires/8052/20250515_Avis_2.pdf" TargetMode="Externa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chd.lu/en/dossier/7994" TargetMode="External"/><Relationship Id="rId30" Type="http://schemas.openxmlformats.org/officeDocument/2006/relationships/hyperlink" Target="https://www.chd.lu/en/dossier/8433B" TargetMode="External"/><Relationship Id="rId35" Type="http://schemas.openxmlformats.org/officeDocument/2006/relationships/hyperlink" Target="https://www.chd.lu/sites/default/files/2026-02/reglement-chd-21-01-2026_.pdf" TargetMode="External"/><Relationship Id="rId43" Type="http://schemas.openxmlformats.org/officeDocument/2006/relationships/hyperlink" Target="https://wdocs-pub.chd.lu/docs/Dossiers_parlementaires/8694/20260505_Avis_2.pdf" TargetMode="External"/><Relationship Id="rId48" Type="http://schemas.openxmlformats.org/officeDocument/2006/relationships/hyperlink" Target="https://legilux.public.lu/eli/etat/leg/loi/2025/04/02/a117/jo" TargetMode="External"/><Relationship Id="rId56" Type="http://schemas.openxmlformats.org/officeDocument/2006/relationships/hyperlink" Target="https://cnj.public.lu/fr/publications/avis-cnj-pl8694.html"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hyperlink" Target="https://gouvernement.lu/dam-assets/documents/actualites/2023/03-mars/31-convention-media-service-public/convention-31032023.pdf"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hd.lu/en/dossier/7991" TargetMode="External"/><Relationship Id="rId33" Type="http://schemas.openxmlformats.org/officeDocument/2006/relationships/hyperlink" Target="https://www.chd.lu/fr/note-scientifique-participation-citoyenne" TargetMode="External"/><Relationship Id="rId38" Type="http://schemas.openxmlformats.org/officeDocument/2006/relationships/hyperlink" Target="https://gouvernement.lu/dam-assets/systeme-politique/gouvernement/comite-ethique/rapport-annuel/20260122-cd-rapport-annuel.pdf" TargetMode="External"/><Relationship Id="rId46" Type="http://schemas.openxmlformats.org/officeDocument/2006/relationships/hyperlink" Target="https://commission.europa.eu/document/download/d1367f58-9eed-4ebd-8eb3-68646b7c7ddc_en?filename=2026_eu_justice_scoreboard.PDF" TargetMode="External"/><Relationship Id="rId59" Type="http://schemas.openxmlformats.org/officeDocument/2006/relationships/hyperlink" Target="https://www.oecd.org/en/publications/better-regulation-practices-across-the-european-union-2025_6f007516-en.html" TargetMode="External"/><Relationship Id="rId67" Type="http://schemas.openxmlformats.org/officeDocument/2006/relationships/footer" Target="footer6.xml"/><Relationship Id="rId20" Type="http://schemas.openxmlformats.org/officeDocument/2006/relationships/header" Target="header3.xml"/><Relationship Id="rId41" Type="http://schemas.openxmlformats.org/officeDocument/2006/relationships/hyperlink" Target="https://legilux.public.lu/filestore/eli/dl/pl/2025/38/evenement/avce/1/doc/davce/1/fr/pdf/eli-dl-pl-2025-38-evenement-avce-1-doc-davce-1-fr-pdf.pdf" TargetMode="External"/><Relationship Id="rId54" Type="http://schemas.openxmlformats.org/officeDocument/2006/relationships/hyperlink" Target="https://legilux.public.lu/filestore/eli/dl/pl/2026/34/doc/dexpmot/1/fr/pdf/eli-dl-pl-2026-34-doc-dexpmot-1-fr-pdf.pdf" TargetMode="External"/><Relationship Id="rId6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47052443-1F89-492A-A1A5-D40BE51288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99BB7C-547C-4C15-B61E-BE0A69226E01}">
  <ds:schemaRefs/>
</ds:datastoreItem>
</file>

<file path=customXml/itemProps5.xml><?xml version="1.0" encoding="utf-8"?>
<ds:datastoreItem xmlns:ds="http://schemas.openxmlformats.org/officeDocument/2006/customXml" ds:itemID="{AE4D0709-8205-43D0-85D6-4CB3120FE88B}">
  <ds:schemaRefs>
    <ds:schemaRef ds:uri="http://schemas.microsoft.com/sharepoint/v3/contenttype/forms"/>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1823BCAC-1993-498B-BC16-E53AF4546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07969DBA-F8C7-4379-8D7F-32FCE217F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8197</Words>
  <Characters>46726</Characters>
  <Application>Microsoft Office Word</Application>
  <DocSecurity>0</DocSecurity>
  <PresentationFormat>Microsoft Word 14.0</PresentationFormat>
  <Lines>389</Lines>
  <Paragraphs>109</Paragraphs>
  <ScaleCrop>true</ScaleCrop>
  <Manager/>
  <Company/>
  <LinksUpToDate>false</LinksUpToDate>
  <CharactersWithSpaces>54814</CharactersWithSpaces>
  <SharedDoc>false</SharedDoc>
  <HLinks>
    <vt:vector size="252" baseType="variant">
      <vt:variant>
        <vt:i4>851984</vt:i4>
      </vt:variant>
      <vt:variant>
        <vt:i4>126</vt:i4>
      </vt:variant>
      <vt:variant>
        <vt:i4>0</vt:i4>
      </vt:variant>
      <vt:variant>
        <vt:i4>5</vt:i4>
      </vt:variant>
      <vt:variant>
        <vt:lpwstr>https://gouvernement.lu/dam-assets/publications/rapport-activite/minist-justice/osig/rapport-annuel-osig-2024-vf.pdf</vt:lpwstr>
      </vt:variant>
      <vt:variant>
        <vt:lpwstr/>
      </vt:variant>
      <vt:variant>
        <vt:i4>5832806</vt:i4>
      </vt:variant>
      <vt:variant>
        <vt:i4>123</vt:i4>
      </vt:variant>
      <vt:variant>
        <vt:i4>0</vt:i4>
      </vt:variant>
      <vt:variant>
        <vt:i4>5</vt:i4>
      </vt:variant>
      <vt:variant>
        <vt:lpwstr>https://wdocs-pub.chd.lu/docs/Dossiers_parlementaires/8052/20250515_Avis_2.pdf</vt:lpwstr>
      </vt:variant>
      <vt:variant>
        <vt:lpwstr/>
      </vt:variant>
      <vt:variant>
        <vt:i4>7733333</vt:i4>
      </vt:variant>
      <vt:variant>
        <vt:i4>120</vt:i4>
      </vt:variant>
      <vt:variant>
        <vt:i4>0</vt:i4>
      </vt:variant>
      <vt:variant>
        <vt:i4>5</vt:i4>
      </vt:variant>
      <vt:variant>
        <vt:lpwstr>https://www.oecd.org/en/publications/better-regulation-practices-across-the-european-union-2025_6f007516-en.html</vt:lpwstr>
      </vt:variant>
      <vt:variant>
        <vt:lpwstr/>
      </vt:variant>
      <vt:variant>
        <vt:i4>3080200</vt:i4>
      </vt:variant>
      <vt:variant>
        <vt:i4>111</vt:i4>
      </vt:variant>
      <vt:variant>
        <vt:i4>0</vt:i4>
      </vt:variant>
      <vt:variant>
        <vt:i4>5</vt:i4>
      </vt:variant>
      <vt:variant>
        <vt:lpwstr>https://www.oecd.org/en/publications/2024/03/implementing-the-oecd-anti-bribery-convention-in-luxembourg_43a6beb2.html</vt:lpwstr>
      </vt:variant>
      <vt:variant>
        <vt:lpwstr/>
      </vt:variant>
      <vt:variant>
        <vt:i4>7405665</vt:i4>
      </vt:variant>
      <vt:variant>
        <vt:i4>108</vt:i4>
      </vt:variant>
      <vt:variant>
        <vt:i4>0</vt:i4>
      </vt:variant>
      <vt:variant>
        <vt:i4>5</vt:i4>
      </vt:variant>
      <vt:variant>
        <vt:lpwstr>https://cnj.public.lu/fr/publications/recommandation4.html</vt:lpwstr>
      </vt:variant>
      <vt:variant>
        <vt:lpwstr/>
      </vt:variant>
      <vt:variant>
        <vt:i4>6488127</vt:i4>
      </vt:variant>
      <vt:variant>
        <vt:i4>105</vt:i4>
      </vt:variant>
      <vt:variant>
        <vt:i4>0</vt:i4>
      </vt:variant>
      <vt:variant>
        <vt:i4>5</vt:i4>
      </vt:variant>
      <vt:variant>
        <vt:lpwstr>https://cnj.public.lu/fr/publications/avis-cnj-pl8694.html</vt:lpwstr>
      </vt:variant>
      <vt:variant>
        <vt:lpwstr/>
      </vt:variant>
      <vt:variant>
        <vt:i4>6488113</vt:i4>
      </vt:variant>
      <vt:variant>
        <vt:i4>102</vt:i4>
      </vt:variant>
      <vt:variant>
        <vt:i4>0</vt:i4>
      </vt:variant>
      <vt:variant>
        <vt:i4>5</vt:i4>
      </vt:variant>
      <vt:variant>
        <vt:lpwstr>https://cnj.public.lu/fr/publications/avis-cnj-pl8599.html</vt:lpwstr>
      </vt:variant>
      <vt:variant>
        <vt:lpwstr/>
      </vt:variant>
      <vt:variant>
        <vt:i4>524361</vt:i4>
      </vt:variant>
      <vt:variant>
        <vt:i4>99</vt:i4>
      </vt:variant>
      <vt:variant>
        <vt:i4>0</vt:i4>
      </vt:variant>
      <vt:variant>
        <vt:i4>5</vt:i4>
      </vt:variant>
      <vt:variant>
        <vt:lpwstr>https://legilux.public.lu/filestore/eli/dl/pl/2026/34/doc/dexpmot/1/fr/pdf/eli-dl-pl-2026-34-doc-dexpmot-1-fr-pdf.pdf</vt:lpwstr>
      </vt:variant>
      <vt:variant>
        <vt:lpwstr/>
      </vt:variant>
      <vt:variant>
        <vt:i4>3997822</vt:i4>
      </vt:variant>
      <vt:variant>
        <vt:i4>96</vt:i4>
      </vt:variant>
      <vt:variant>
        <vt:i4>0</vt:i4>
      </vt:variant>
      <vt:variant>
        <vt:i4>5</vt:i4>
      </vt:variant>
      <vt:variant>
        <vt:lpwstr>https://legilux.public.lu/filestore/eli/dl/pl/2026/34/evenement/avis/7/doc/davoc/1/fr/pdf/eli-dl-pl-2026-34-evenement-avis-7-doc-davoc-1-fr-pdf.pdf</vt:lpwstr>
      </vt:variant>
      <vt:variant>
        <vt:lpwstr/>
      </vt:variant>
      <vt:variant>
        <vt:i4>3014770</vt:i4>
      </vt:variant>
      <vt:variant>
        <vt:i4>93</vt:i4>
      </vt:variant>
      <vt:variant>
        <vt:i4>0</vt:i4>
      </vt:variant>
      <vt:variant>
        <vt:i4>5</vt:i4>
      </vt:variant>
      <vt:variant>
        <vt:lpwstr>https://gouvernement.lu/dam-assets/documents/actualites/2023/03-mars/31-convention-media-service-public/convention-31032023.pdf</vt:lpwstr>
      </vt:variant>
      <vt:variant>
        <vt:lpwstr/>
      </vt:variant>
      <vt:variant>
        <vt:i4>6094860</vt:i4>
      </vt:variant>
      <vt:variant>
        <vt:i4>90</vt:i4>
      </vt:variant>
      <vt:variant>
        <vt:i4>0</vt:i4>
      </vt:variant>
      <vt:variant>
        <vt:i4>5</vt:i4>
      </vt:variant>
      <vt:variant>
        <vt:lpwstr>https://smc.gouvernement.lu/dam-assets/dossiers/plan-daction-journalistes/mie-254763-brochure-web-en.pdf</vt:lpwstr>
      </vt:variant>
      <vt:variant>
        <vt:lpwstr/>
      </vt:variant>
      <vt:variant>
        <vt:i4>5767168</vt:i4>
      </vt:variant>
      <vt:variant>
        <vt:i4>87</vt:i4>
      </vt:variant>
      <vt:variant>
        <vt:i4>0</vt:i4>
      </vt:variant>
      <vt:variant>
        <vt:i4>5</vt:i4>
      </vt:variant>
      <vt:variant>
        <vt:lpwstr>https://legilux.public.lu/eli/etat/leg/loi/2025/12/12/a556/jo</vt:lpwstr>
      </vt:variant>
      <vt:variant>
        <vt:lpwstr/>
      </vt:variant>
      <vt:variant>
        <vt:i4>5963789</vt:i4>
      </vt:variant>
      <vt:variant>
        <vt:i4>84</vt:i4>
      </vt:variant>
      <vt:variant>
        <vt:i4>0</vt:i4>
      </vt:variant>
      <vt:variant>
        <vt:i4>5</vt:i4>
      </vt:variant>
      <vt:variant>
        <vt:lpwstr>https://legilux.public.lu/eli/etat/leg/loi/2025/11/28/a525/jo</vt:lpwstr>
      </vt:variant>
      <vt:variant>
        <vt:lpwstr/>
      </vt:variant>
      <vt:variant>
        <vt:i4>5898245</vt:i4>
      </vt:variant>
      <vt:variant>
        <vt:i4>81</vt:i4>
      </vt:variant>
      <vt:variant>
        <vt:i4>0</vt:i4>
      </vt:variant>
      <vt:variant>
        <vt:i4>5</vt:i4>
      </vt:variant>
      <vt:variant>
        <vt:lpwstr>https://legilux.public.lu/eli/etat/leg/loi/2025/04/02/a117/jo</vt:lpwstr>
      </vt:variant>
      <vt:variant>
        <vt:lpwstr/>
      </vt:variant>
      <vt:variant>
        <vt:i4>8192061</vt:i4>
      </vt:variant>
      <vt:variant>
        <vt:i4>78</vt:i4>
      </vt:variant>
      <vt:variant>
        <vt:i4>0</vt:i4>
      </vt:variant>
      <vt:variant>
        <vt:i4>5</vt:i4>
      </vt:variant>
      <vt:variant>
        <vt:lpwstr>https://rule-of-law.ennhri.org/node/335</vt:lpwstr>
      </vt:variant>
      <vt:variant>
        <vt:lpwstr/>
      </vt:variant>
      <vt:variant>
        <vt:i4>1572873</vt:i4>
      </vt:variant>
      <vt:variant>
        <vt:i4>75</vt:i4>
      </vt:variant>
      <vt:variant>
        <vt:i4>0</vt:i4>
      </vt:variant>
      <vt:variant>
        <vt:i4>5</vt:i4>
      </vt:variant>
      <vt:variant>
        <vt:lpwstr>https://commission.europa.eu/document/download/d1367f58-9eed-4ebd-8eb3-68646b7c7ddc_en?filename=2026_eu_justice_scoreboard.PDF</vt:lpwstr>
      </vt:variant>
      <vt:variant>
        <vt:lpwstr/>
      </vt:variant>
      <vt:variant>
        <vt:i4>524388</vt:i4>
      </vt:variant>
      <vt:variant>
        <vt:i4>72</vt:i4>
      </vt:variant>
      <vt:variant>
        <vt:i4>0</vt:i4>
      </vt:variant>
      <vt:variant>
        <vt:i4>5</vt:i4>
      </vt:variant>
      <vt:variant>
        <vt:lpwstr>https://commission.europa.eu/document/download/38e15783-3aca-434e-83e8-26ba0a90fc7c_en?filename=20_1_63953_coun_chap_luxembourg_en.pdf</vt:lpwstr>
      </vt:variant>
      <vt:variant>
        <vt:lpwstr/>
      </vt:variant>
      <vt:variant>
        <vt:i4>3145771</vt:i4>
      </vt:variant>
      <vt:variant>
        <vt:i4>69</vt:i4>
      </vt:variant>
      <vt:variant>
        <vt:i4>0</vt:i4>
      </vt:variant>
      <vt:variant>
        <vt:i4>5</vt:i4>
      </vt:variant>
      <vt:variant>
        <vt:lpwstr>https://www.chd.lu/fr/rapport-special-cour-des-comptes-finances-sensibilite-politique-piraten-2018-2023</vt:lpwstr>
      </vt:variant>
      <vt:variant>
        <vt:lpwstr/>
      </vt:variant>
      <vt:variant>
        <vt:i4>5767273</vt:i4>
      </vt:variant>
      <vt:variant>
        <vt:i4>66</vt:i4>
      </vt:variant>
      <vt:variant>
        <vt:i4>0</vt:i4>
      </vt:variant>
      <vt:variant>
        <vt:i4>5</vt:i4>
      </vt:variant>
      <vt:variant>
        <vt:lpwstr>https://wdocs-pub.chd.lu/docs/Dossiers_parlementaires/8694/20260505_Avis_2.pdf</vt:lpwstr>
      </vt:variant>
      <vt:variant>
        <vt:lpwstr/>
      </vt:variant>
      <vt:variant>
        <vt:i4>5767271</vt:i4>
      </vt:variant>
      <vt:variant>
        <vt:i4>60</vt:i4>
      </vt:variant>
      <vt:variant>
        <vt:i4>0</vt:i4>
      </vt:variant>
      <vt:variant>
        <vt:i4>5</vt:i4>
      </vt:variant>
      <vt:variant>
        <vt:lpwstr>https://wdocs-pub.chd.lu/docs/Dossiers_parlementaires/8447/20251202_Avis_2.pdf</vt:lpwstr>
      </vt:variant>
      <vt:variant>
        <vt:lpwstr/>
      </vt:variant>
      <vt:variant>
        <vt:i4>3997822</vt:i4>
      </vt:variant>
      <vt:variant>
        <vt:i4>57</vt:i4>
      </vt:variant>
      <vt:variant>
        <vt:i4>0</vt:i4>
      </vt:variant>
      <vt:variant>
        <vt:i4>5</vt:i4>
      </vt:variant>
      <vt:variant>
        <vt:lpwstr>https://legilux.public.lu/filestore/eli/dl/pl/2025/38/evenement/avce/1/doc/davce/1/fr/pdf/eli-dl-pl-2025-38-evenement-avce-1-doc-davce-1-fr-pdf.pdf</vt:lpwstr>
      </vt:variant>
      <vt:variant>
        <vt:lpwstr/>
      </vt:variant>
      <vt:variant>
        <vt:i4>4587571</vt:i4>
      </vt:variant>
      <vt:variant>
        <vt:i4>54</vt:i4>
      </vt:variant>
      <vt:variant>
        <vt:i4>0</vt:i4>
      </vt:variant>
      <vt:variant>
        <vt:i4>5</vt:i4>
      </vt:variant>
      <vt:variant>
        <vt:lpwstr>https://conseil-etat.public.lu/content/dam/conseil_etat/fr/avis/2024/12112024/61112-avis-du-12-novembre-2024.pdf</vt:lpwstr>
      </vt:variant>
      <vt:variant>
        <vt:lpwstr/>
      </vt:variant>
      <vt:variant>
        <vt:i4>851992</vt:i4>
      </vt:variant>
      <vt:variant>
        <vt:i4>51</vt:i4>
      </vt:variant>
      <vt:variant>
        <vt:i4>0</vt:i4>
      </vt:variant>
      <vt:variant>
        <vt:i4>5</vt:i4>
      </vt:variant>
      <vt:variant>
        <vt:lpwstr>https://rm.coe.int/2025-annual-report/48802b1633</vt:lpwstr>
      </vt:variant>
      <vt:variant>
        <vt:lpwstr/>
      </vt:variant>
      <vt:variant>
        <vt:i4>7274621</vt:i4>
      </vt:variant>
      <vt:variant>
        <vt:i4>48</vt:i4>
      </vt:variant>
      <vt:variant>
        <vt:i4>0</vt:i4>
      </vt:variant>
      <vt:variant>
        <vt:i4>5</vt:i4>
      </vt:variant>
      <vt:variant>
        <vt:lpwstr>https://gouvernement.lu/dam-assets/systeme-politique/gouvernement/comite-ethique/rapport-annuel/20260122-cd-rapport-annuel.pdf</vt:lpwstr>
      </vt:variant>
      <vt:variant>
        <vt:lpwstr/>
      </vt:variant>
      <vt:variant>
        <vt:i4>6750311</vt:i4>
      </vt:variant>
      <vt:variant>
        <vt:i4>45</vt:i4>
      </vt:variant>
      <vt:variant>
        <vt:i4>0</vt:i4>
      </vt:variant>
      <vt:variant>
        <vt:i4>5</vt:i4>
      </vt:variant>
      <vt:variant>
        <vt:lpwstr>https://www.chd.lu/en/dossier/8696</vt:lpwstr>
      </vt:variant>
      <vt:variant>
        <vt:lpwstr/>
      </vt:variant>
      <vt:variant>
        <vt:i4>6619239</vt:i4>
      </vt:variant>
      <vt:variant>
        <vt:i4>42</vt:i4>
      </vt:variant>
      <vt:variant>
        <vt:i4>0</vt:i4>
      </vt:variant>
      <vt:variant>
        <vt:i4>5</vt:i4>
      </vt:variant>
      <vt:variant>
        <vt:lpwstr>https://www.chd.lu/en/dossier/8694</vt:lpwstr>
      </vt:variant>
      <vt:variant>
        <vt:lpwstr/>
      </vt:variant>
      <vt:variant>
        <vt:i4>7012440</vt:i4>
      </vt:variant>
      <vt:variant>
        <vt:i4>39</vt:i4>
      </vt:variant>
      <vt:variant>
        <vt:i4>0</vt:i4>
      </vt:variant>
      <vt:variant>
        <vt:i4>5</vt:i4>
      </vt:variant>
      <vt:variant>
        <vt:lpwstr>https://www.chd.lu/sites/default/files/2026-02/reglement-chd-21-01-2026_.pdf</vt:lpwstr>
      </vt:variant>
      <vt:variant>
        <vt:lpwstr/>
      </vt:variant>
      <vt:variant>
        <vt:i4>3211351</vt:i4>
      </vt:variant>
      <vt:variant>
        <vt:i4>36</vt:i4>
      </vt:variant>
      <vt:variant>
        <vt:i4>0</vt:i4>
      </vt:variant>
      <vt:variant>
        <vt:i4>5</vt:i4>
      </vt:variant>
      <vt:variant>
        <vt:lpwstr>https://wdocs-pub.chd.lu/docs/Motions_Resolutions/Resolution_4635/20251029_Depot.pdf</vt:lpwstr>
      </vt:variant>
      <vt:variant>
        <vt:lpwstr/>
      </vt:variant>
      <vt:variant>
        <vt:i4>2687013</vt:i4>
      </vt:variant>
      <vt:variant>
        <vt:i4>33</vt:i4>
      </vt:variant>
      <vt:variant>
        <vt:i4>0</vt:i4>
      </vt:variant>
      <vt:variant>
        <vt:i4>5</vt:i4>
      </vt:variant>
      <vt:variant>
        <vt:lpwstr>https://www.chd.lu/fr/note-scientifique-participation-citoyenne</vt:lpwstr>
      </vt:variant>
      <vt:variant>
        <vt:lpwstr/>
      </vt:variant>
      <vt:variant>
        <vt:i4>6619239</vt:i4>
      </vt:variant>
      <vt:variant>
        <vt:i4>30</vt:i4>
      </vt:variant>
      <vt:variant>
        <vt:i4>0</vt:i4>
      </vt:variant>
      <vt:variant>
        <vt:i4>5</vt:i4>
      </vt:variant>
      <vt:variant>
        <vt:lpwstr>https://www.chd.lu/de/dossier/8625</vt:lpwstr>
      </vt:variant>
      <vt:variant>
        <vt:lpwstr/>
      </vt:variant>
      <vt:variant>
        <vt:i4>6488174</vt:i4>
      </vt:variant>
      <vt:variant>
        <vt:i4>27</vt:i4>
      </vt:variant>
      <vt:variant>
        <vt:i4>0</vt:i4>
      </vt:variant>
      <vt:variant>
        <vt:i4>5</vt:i4>
      </vt:variant>
      <vt:variant>
        <vt:lpwstr>https://www.chd.lu/en/dossier/8501</vt:lpwstr>
      </vt:variant>
      <vt:variant>
        <vt:lpwstr/>
      </vt:variant>
      <vt:variant>
        <vt:i4>6291565</vt:i4>
      </vt:variant>
      <vt:variant>
        <vt:i4>24</vt:i4>
      </vt:variant>
      <vt:variant>
        <vt:i4>0</vt:i4>
      </vt:variant>
      <vt:variant>
        <vt:i4>5</vt:i4>
      </vt:variant>
      <vt:variant>
        <vt:lpwstr>https://www.chd.lu/en/dossier/8433B</vt:lpwstr>
      </vt:variant>
      <vt:variant>
        <vt:lpwstr/>
      </vt:variant>
      <vt:variant>
        <vt:i4>6422636</vt:i4>
      </vt:variant>
      <vt:variant>
        <vt:i4>21</vt:i4>
      </vt:variant>
      <vt:variant>
        <vt:i4>0</vt:i4>
      </vt:variant>
      <vt:variant>
        <vt:i4>5</vt:i4>
      </vt:variant>
      <vt:variant>
        <vt:lpwstr>https://www.chd.lu/en/dossier/8421</vt:lpwstr>
      </vt:variant>
      <vt:variant>
        <vt:lpwstr/>
      </vt:variant>
      <vt:variant>
        <vt:i4>6750326</vt:i4>
      </vt:variant>
      <vt:variant>
        <vt:i4>18</vt:i4>
      </vt:variant>
      <vt:variant>
        <vt:i4>0</vt:i4>
      </vt:variant>
      <vt:variant>
        <vt:i4>5</vt:i4>
      </vt:variant>
      <vt:variant>
        <vt:lpwstr>https://www.chd.lu/fr/dossier/8447</vt:lpwstr>
      </vt:variant>
      <vt:variant>
        <vt:lpwstr/>
      </vt:variant>
      <vt:variant>
        <vt:i4>6946920</vt:i4>
      </vt:variant>
      <vt:variant>
        <vt:i4>15</vt:i4>
      </vt:variant>
      <vt:variant>
        <vt:i4>0</vt:i4>
      </vt:variant>
      <vt:variant>
        <vt:i4>5</vt:i4>
      </vt:variant>
      <vt:variant>
        <vt:lpwstr>https://www.chd.lu/en/dossier/7994</vt:lpwstr>
      </vt:variant>
      <vt:variant>
        <vt:lpwstr/>
      </vt:variant>
      <vt:variant>
        <vt:i4>7077992</vt:i4>
      </vt:variant>
      <vt:variant>
        <vt:i4>12</vt:i4>
      </vt:variant>
      <vt:variant>
        <vt:i4>0</vt:i4>
      </vt:variant>
      <vt:variant>
        <vt:i4>5</vt:i4>
      </vt:variant>
      <vt:variant>
        <vt:lpwstr>https://www.chd.lu/en/dossier/7992</vt:lpwstr>
      </vt:variant>
      <vt:variant>
        <vt:lpwstr/>
      </vt:variant>
      <vt:variant>
        <vt:i4>7274600</vt:i4>
      </vt:variant>
      <vt:variant>
        <vt:i4>9</vt:i4>
      </vt:variant>
      <vt:variant>
        <vt:i4>0</vt:i4>
      </vt:variant>
      <vt:variant>
        <vt:i4>5</vt:i4>
      </vt:variant>
      <vt:variant>
        <vt:lpwstr>https://www.chd.lu/en/dossier/7991</vt:lpwstr>
      </vt:variant>
      <vt:variant>
        <vt:lpwstr/>
      </vt:variant>
      <vt:variant>
        <vt:i4>2490483</vt:i4>
      </vt:variant>
      <vt:variant>
        <vt:i4>6</vt:i4>
      </vt:variant>
      <vt:variant>
        <vt:i4>0</vt:i4>
      </vt:variant>
      <vt:variant>
        <vt:i4>5</vt:i4>
      </vt:variant>
      <vt:variant>
        <vt:lpwstr>https://www.cdm.lu/procedures-internes</vt:lpwstr>
      </vt:variant>
      <vt:variant>
        <vt:lpwstr/>
      </vt:variant>
      <vt:variant>
        <vt:i4>3997822</vt:i4>
      </vt:variant>
      <vt:variant>
        <vt:i4>3</vt:i4>
      </vt:variant>
      <vt:variant>
        <vt:i4>0</vt:i4>
      </vt:variant>
      <vt:variant>
        <vt:i4>5</vt:i4>
      </vt:variant>
      <vt:variant>
        <vt:lpwstr>https://legilux.public.lu/filestore/eli/dl/pl/2026/34/evenement/avis/5/doc/davoc/1/fr/pdf/eli-dl-pl-2026-34-evenement-avis-5-doc-davoc-1-fr-pdf.pdf</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3</vt:i4>
      </vt:variant>
      <vt:variant>
        <vt:i4>0</vt:i4>
      </vt:variant>
      <vt:variant>
        <vt:i4>5</vt:i4>
      </vt:variant>
      <vt:variant>
        <vt:lpwstr>https://www.coe.int/en/web/execution/the-supervision-process</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2026-07-15T09:46:00Z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SIP_Label_6bd9ddd1-4d20-43f6-abfa-fc3c07406f94_ContentBits">
    <vt:lpwstr>0</vt:lpwstr>
  </property>
  <property fmtid="{D5CDD505-2E9C-101B-9397-08002B2CF9AE}" pid="4" name="ContentTypeId">
    <vt:lpwstr>0x010100CD92FCBF67B53A4EB1060DF04C43C986</vt:lpwstr>
  </property>
  <property fmtid="{D5CDD505-2E9C-101B-9397-08002B2CF9AE}" pid="5" name="MSIP_Label_6bd9ddd1-4d20-43f6-abfa-fc3c07406f94_Tag">
    <vt:lpwstr>10, 3, 0, 1</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2026-07-15T09:46:13Z</vt:lpwstr>
  </property>
  <property fmtid="{D5CDD505-2E9C-101B-9397-08002B2CF9AE}" pid="10" name="MSIP_Label_6bd9ddd1-4d20-43f6-abfa-fc3c07406f94_ActionId">
    <vt:lpwstr>068700eb-8658-4a53-b6aa-74692f78e7bc</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